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523F" w14:textId="342755F1" w:rsidR="00027056" w:rsidRPr="00D54E86" w:rsidRDefault="00027056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b/>
          <w:bCs/>
          <w:sz w:val="22"/>
          <w:szCs w:val="22"/>
        </w:rPr>
      </w:pPr>
      <w:r w:rsidRPr="00D54E86">
        <w:rPr>
          <w:rFonts w:ascii="Arial" w:hAnsi="Arial" w:cs="Arial"/>
          <w:b/>
          <w:bCs/>
          <w:sz w:val="22"/>
          <w:szCs w:val="22"/>
        </w:rPr>
        <w:t>London Anchor Institutions</w:t>
      </w:r>
      <w:r w:rsidR="00F856E1" w:rsidRPr="00D54E86">
        <w:rPr>
          <w:rFonts w:ascii="Arial" w:hAnsi="Arial" w:cs="Arial"/>
          <w:b/>
          <w:bCs/>
          <w:sz w:val="22"/>
          <w:szCs w:val="22"/>
        </w:rPr>
        <w:t>’</w:t>
      </w:r>
      <w:r w:rsidRPr="00D54E86">
        <w:rPr>
          <w:rFonts w:ascii="Arial" w:hAnsi="Arial" w:cs="Arial"/>
          <w:b/>
          <w:bCs/>
          <w:sz w:val="22"/>
          <w:szCs w:val="22"/>
        </w:rPr>
        <w:t xml:space="preserve"> Network (LAIN)</w:t>
      </w:r>
    </w:p>
    <w:p w14:paraId="0709E8C4" w14:textId="52DEDC93" w:rsidR="00027056" w:rsidRPr="00D54E86" w:rsidRDefault="00027056" w:rsidP="00027056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t xml:space="preserve">Steering Committee Paper: Summary of </w:t>
      </w:r>
      <w:r w:rsidR="00384937" w:rsidRPr="00D54E86">
        <w:rPr>
          <w:rFonts w:ascii="Arial" w:hAnsi="Arial" w:cs="Arial"/>
          <w:b/>
          <w:bCs/>
          <w:sz w:val="22"/>
          <w:szCs w:val="22"/>
          <w:lang w:eastAsia="en-GB"/>
        </w:rPr>
        <w:t>proposed programme metrics</w:t>
      </w: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22335E6D" w14:textId="2B895F17" w:rsidR="00027056" w:rsidRPr="00D54E86" w:rsidRDefault="00027056" w:rsidP="00027056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t>21 February 2023</w:t>
      </w: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5DAF21E6" w14:textId="1BE7B237" w:rsidR="00027056" w:rsidRPr="00D54E86" w:rsidRDefault="00027056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</w:p>
    <w:p w14:paraId="66AE7188" w14:textId="2C3CB1A3" w:rsidR="00203E29" w:rsidRPr="00D54E86" w:rsidRDefault="00976518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 w:rsidRPr="00D54E86">
        <w:rPr>
          <w:rFonts w:ascii="Arial" w:hAnsi="Arial" w:cs="Arial"/>
          <w:sz w:val="22"/>
          <w:szCs w:val="22"/>
        </w:rPr>
        <w:t xml:space="preserve">The impact of LAIN can be measured in </w:t>
      </w:r>
      <w:r w:rsidR="00AE36A3">
        <w:rPr>
          <w:rFonts w:ascii="Arial" w:hAnsi="Arial" w:cs="Arial"/>
          <w:sz w:val="22"/>
          <w:szCs w:val="22"/>
        </w:rPr>
        <w:t xml:space="preserve">several </w:t>
      </w:r>
      <w:r w:rsidRPr="00D54E86">
        <w:rPr>
          <w:rFonts w:ascii="Arial" w:hAnsi="Arial" w:cs="Arial"/>
          <w:sz w:val="22"/>
          <w:szCs w:val="22"/>
        </w:rPr>
        <w:t xml:space="preserve">ways. Through the working groups, we have been developing and defining a series of programme metrics that enable us to track the impact the network is having on our headline goals. </w:t>
      </w:r>
      <w:r w:rsidR="00203E29" w:rsidRPr="00D54E86">
        <w:rPr>
          <w:rFonts w:ascii="Arial" w:hAnsi="Arial" w:cs="Arial"/>
          <w:sz w:val="22"/>
          <w:szCs w:val="22"/>
        </w:rPr>
        <w:t>The working groups are at different stages in this</w:t>
      </w:r>
      <w:r w:rsidR="009D2913">
        <w:rPr>
          <w:rFonts w:ascii="Arial" w:hAnsi="Arial" w:cs="Arial"/>
          <w:sz w:val="22"/>
          <w:szCs w:val="22"/>
        </w:rPr>
        <w:t>. B</w:t>
      </w:r>
      <w:r w:rsidR="00203E29" w:rsidRPr="00D54E86">
        <w:rPr>
          <w:rFonts w:ascii="Arial" w:hAnsi="Arial" w:cs="Arial"/>
          <w:sz w:val="22"/>
          <w:szCs w:val="22"/>
        </w:rPr>
        <w:t xml:space="preserve">elow is a summary of the key measures that are currently being </w:t>
      </w:r>
      <w:r w:rsidR="00E75B66" w:rsidRPr="00D54E86">
        <w:rPr>
          <w:rFonts w:ascii="Arial" w:hAnsi="Arial" w:cs="Arial"/>
          <w:sz w:val="22"/>
          <w:szCs w:val="22"/>
        </w:rPr>
        <w:t>considered</w:t>
      </w:r>
      <w:r w:rsidR="00203E29" w:rsidRPr="00D54E86">
        <w:rPr>
          <w:rFonts w:ascii="Arial" w:hAnsi="Arial" w:cs="Arial"/>
          <w:sz w:val="22"/>
          <w:szCs w:val="22"/>
        </w:rPr>
        <w:t xml:space="preserve"> and reported. </w:t>
      </w:r>
    </w:p>
    <w:p w14:paraId="1DD2791A" w14:textId="77777777" w:rsidR="00203E29" w:rsidRPr="00D54E86" w:rsidRDefault="00203E29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</w:p>
    <w:p w14:paraId="16A2B1AB" w14:textId="2F77963B" w:rsidR="00976518" w:rsidRPr="00D54E86" w:rsidRDefault="00976518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 w:rsidRPr="00D54E86">
        <w:rPr>
          <w:rFonts w:ascii="Arial" w:hAnsi="Arial" w:cs="Arial"/>
          <w:sz w:val="22"/>
          <w:szCs w:val="22"/>
        </w:rPr>
        <w:t>Whilst there is no formal reporting requirement of anchor institutions for the programme, tracking this information more systematically will enable working groups</w:t>
      </w:r>
      <w:r w:rsidR="00203E29" w:rsidRPr="00D54E86">
        <w:rPr>
          <w:rFonts w:ascii="Arial" w:hAnsi="Arial" w:cs="Arial"/>
          <w:sz w:val="22"/>
          <w:szCs w:val="22"/>
        </w:rPr>
        <w:t xml:space="preserve">, the steering </w:t>
      </w:r>
      <w:proofErr w:type="gramStart"/>
      <w:r w:rsidR="00203E29" w:rsidRPr="00D54E86">
        <w:rPr>
          <w:rFonts w:ascii="Arial" w:hAnsi="Arial" w:cs="Arial"/>
          <w:sz w:val="22"/>
          <w:szCs w:val="22"/>
        </w:rPr>
        <w:t>committee</w:t>
      </w:r>
      <w:proofErr w:type="gramEnd"/>
      <w:r w:rsidR="00203E29" w:rsidRPr="00D54E86">
        <w:rPr>
          <w:rFonts w:ascii="Arial" w:hAnsi="Arial" w:cs="Arial"/>
          <w:sz w:val="22"/>
          <w:szCs w:val="22"/>
        </w:rPr>
        <w:t xml:space="preserve"> and </w:t>
      </w:r>
      <w:r w:rsidRPr="00D54E86">
        <w:rPr>
          <w:rFonts w:ascii="Arial" w:hAnsi="Arial" w:cs="Arial"/>
          <w:sz w:val="22"/>
          <w:szCs w:val="22"/>
        </w:rPr>
        <w:t>the programme as a whole to have a clearer picture of what is being achieved</w:t>
      </w:r>
      <w:r w:rsidR="00203E29" w:rsidRPr="00D54E86">
        <w:rPr>
          <w:rFonts w:ascii="Arial" w:hAnsi="Arial" w:cs="Arial"/>
          <w:sz w:val="22"/>
          <w:szCs w:val="22"/>
        </w:rPr>
        <w:t xml:space="preserve"> at the aggregate level</w:t>
      </w:r>
      <w:r w:rsidRPr="00D54E86">
        <w:rPr>
          <w:rFonts w:ascii="Arial" w:hAnsi="Arial" w:cs="Arial"/>
          <w:sz w:val="22"/>
          <w:szCs w:val="22"/>
        </w:rPr>
        <w:t xml:space="preserve">. It is therefore proposed to </w:t>
      </w:r>
      <w:r w:rsidR="00203E29" w:rsidRPr="00D54E86">
        <w:rPr>
          <w:rFonts w:ascii="Arial" w:hAnsi="Arial" w:cs="Arial"/>
          <w:sz w:val="22"/>
          <w:szCs w:val="22"/>
        </w:rPr>
        <w:t xml:space="preserve">agree a core set of metrics with standardised definitions and time periods (financial year) </w:t>
      </w:r>
      <w:r w:rsidR="00AE36A3" w:rsidRPr="00D54E86">
        <w:rPr>
          <w:rFonts w:ascii="Arial" w:hAnsi="Arial" w:cs="Arial"/>
          <w:sz w:val="22"/>
          <w:szCs w:val="22"/>
        </w:rPr>
        <w:t>to</w:t>
      </w:r>
      <w:r w:rsidR="00203E29" w:rsidRPr="00D54E86">
        <w:rPr>
          <w:rFonts w:ascii="Arial" w:hAnsi="Arial" w:cs="Arial"/>
          <w:sz w:val="22"/>
          <w:szCs w:val="22"/>
        </w:rPr>
        <w:t xml:space="preserve"> support this, </w:t>
      </w:r>
      <w:r w:rsidR="00E75B66" w:rsidRPr="00D54E86">
        <w:rPr>
          <w:rFonts w:ascii="Arial" w:hAnsi="Arial" w:cs="Arial"/>
          <w:sz w:val="22"/>
          <w:szCs w:val="22"/>
        </w:rPr>
        <w:t>as well as</w:t>
      </w:r>
      <w:r w:rsidR="00203E29" w:rsidRPr="00D54E86">
        <w:rPr>
          <w:rFonts w:ascii="Arial" w:hAnsi="Arial" w:cs="Arial"/>
          <w:sz w:val="22"/>
          <w:szCs w:val="22"/>
        </w:rPr>
        <w:t xml:space="preserve"> to make </w:t>
      </w:r>
      <w:r w:rsidR="00E75B66" w:rsidRPr="00D54E86">
        <w:rPr>
          <w:rFonts w:ascii="Arial" w:hAnsi="Arial" w:cs="Arial"/>
          <w:sz w:val="22"/>
          <w:szCs w:val="22"/>
        </w:rPr>
        <w:t>reporting</w:t>
      </w:r>
      <w:r w:rsidR="00203E29" w:rsidRPr="00D54E86">
        <w:rPr>
          <w:rFonts w:ascii="Arial" w:hAnsi="Arial" w:cs="Arial"/>
          <w:sz w:val="22"/>
          <w:szCs w:val="22"/>
        </w:rPr>
        <w:t xml:space="preserve"> more streamlined. </w:t>
      </w:r>
    </w:p>
    <w:p w14:paraId="735F09D0" w14:textId="261AE80D" w:rsidR="00976518" w:rsidRDefault="00976518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</w:p>
    <w:p w14:paraId="71450247" w14:textId="425D94A7" w:rsidR="00AE36A3" w:rsidRPr="009D2913" w:rsidRDefault="00AE36A3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  <w:u w:val="single"/>
        </w:rPr>
      </w:pPr>
      <w:r w:rsidRPr="009D2913">
        <w:rPr>
          <w:rFonts w:ascii="Arial" w:hAnsi="Arial" w:cs="Arial"/>
          <w:sz w:val="22"/>
          <w:szCs w:val="22"/>
          <w:u w:val="single"/>
        </w:rPr>
        <w:t xml:space="preserve">The approach </w:t>
      </w:r>
    </w:p>
    <w:p w14:paraId="1B1CABDA" w14:textId="77777777" w:rsidR="00AE36A3" w:rsidRPr="00D54E86" w:rsidRDefault="00AE36A3" w:rsidP="00A71F74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</w:p>
    <w:p w14:paraId="42149DCE" w14:textId="72D759B3" w:rsidR="00203E29" w:rsidRPr="00D54E86" w:rsidRDefault="00AE36A3" w:rsidP="00976518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75B66" w:rsidRPr="00D54E86">
        <w:rPr>
          <w:rFonts w:ascii="Arial" w:hAnsi="Arial" w:cs="Arial"/>
          <w:sz w:val="22"/>
          <w:szCs w:val="22"/>
        </w:rPr>
        <w:t xml:space="preserve">rganisations across the network are very different in their scale and nature, and </w:t>
      </w:r>
      <w:r w:rsidR="009D2913">
        <w:rPr>
          <w:rFonts w:ascii="Arial" w:hAnsi="Arial" w:cs="Arial"/>
          <w:sz w:val="22"/>
          <w:szCs w:val="22"/>
        </w:rPr>
        <w:t xml:space="preserve">they </w:t>
      </w:r>
      <w:r w:rsidR="00E75B66" w:rsidRPr="00D54E86">
        <w:rPr>
          <w:rFonts w:ascii="Arial" w:hAnsi="Arial" w:cs="Arial"/>
          <w:sz w:val="22"/>
          <w:szCs w:val="22"/>
        </w:rPr>
        <w:t xml:space="preserve">have different priorities and areas of focus within the programme’s headline goals. It is therefore understood that not all core metrics will be applicable to all organisations. </w:t>
      </w:r>
      <w:r w:rsidR="00976518" w:rsidRPr="00D54E86">
        <w:rPr>
          <w:rFonts w:ascii="Arial" w:hAnsi="Arial" w:cs="Arial"/>
          <w:sz w:val="22"/>
          <w:szCs w:val="22"/>
        </w:rPr>
        <w:t xml:space="preserve">Alongside this numeric information, </w:t>
      </w:r>
      <w:r w:rsidR="00E75B66" w:rsidRPr="00D54E86">
        <w:rPr>
          <w:rFonts w:ascii="Arial" w:hAnsi="Arial" w:cs="Arial"/>
          <w:sz w:val="22"/>
          <w:szCs w:val="22"/>
        </w:rPr>
        <w:t xml:space="preserve">it will therefore also be important to keep collecting </w:t>
      </w:r>
      <w:r w:rsidR="00384937" w:rsidRPr="00D54E86">
        <w:rPr>
          <w:rFonts w:ascii="Arial" w:hAnsi="Arial" w:cs="Arial"/>
          <w:sz w:val="22"/>
          <w:szCs w:val="22"/>
        </w:rPr>
        <w:t xml:space="preserve">narrative </w:t>
      </w:r>
      <w:r w:rsidR="00976518" w:rsidRPr="00D54E86">
        <w:rPr>
          <w:rFonts w:ascii="Arial" w:hAnsi="Arial" w:cs="Arial"/>
          <w:sz w:val="22"/>
          <w:szCs w:val="22"/>
        </w:rPr>
        <w:t xml:space="preserve">information </w:t>
      </w:r>
      <w:r w:rsidR="00384937" w:rsidRPr="00D54E86">
        <w:rPr>
          <w:rFonts w:ascii="Arial" w:hAnsi="Arial" w:cs="Arial"/>
          <w:sz w:val="22"/>
          <w:szCs w:val="22"/>
        </w:rPr>
        <w:t xml:space="preserve">from members about actions </w:t>
      </w:r>
      <w:r w:rsidR="00976518" w:rsidRPr="00D54E86">
        <w:rPr>
          <w:rFonts w:ascii="Arial" w:hAnsi="Arial" w:cs="Arial"/>
          <w:sz w:val="22"/>
          <w:szCs w:val="22"/>
        </w:rPr>
        <w:t xml:space="preserve">being </w:t>
      </w:r>
      <w:r w:rsidR="00384937" w:rsidRPr="00D54E86">
        <w:rPr>
          <w:rFonts w:ascii="Arial" w:hAnsi="Arial" w:cs="Arial"/>
          <w:sz w:val="22"/>
          <w:szCs w:val="22"/>
        </w:rPr>
        <w:t>taken</w:t>
      </w:r>
      <w:r w:rsidR="00976518" w:rsidRPr="00D54E86">
        <w:rPr>
          <w:rFonts w:ascii="Arial" w:hAnsi="Arial" w:cs="Arial"/>
          <w:sz w:val="22"/>
          <w:szCs w:val="22"/>
        </w:rPr>
        <w:t xml:space="preserve"> and progress being made</w:t>
      </w:r>
      <w:r w:rsidR="00E75B66" w:rsidRPr="00D54E86">
        <w:rPr>
          <w:rFonts w:ascii="Arial" w:hAnsi="Arial" w:cs="Arial"/>
          <w:sz w:val="22"/>
          <w:szCs w:val="22"/>
        </w:rPr>
        <w:t xml:space="preserve">, not least to continue </w:t>
      </w:r>
      <w:r w:rsidR="00203E29" w:rsidRPr="00D54E86">
        <w:rPr>
          <w:rFonts w:ascii="Arial" w:hAnsi="Arial" w:cs="Arial"/>
          <w:sz w:val="22"/>
          <w:szCs w:val="22"/>
        </w:rPr>
        <w:t>enabling peer-to-peer learning</w:t>
      </w:r>
      <w:r w:rsidR="00F856E1" w:rsidRPr="00D54E86">
        <w:rPr>
          <w:rFonts w:ascii="Arial" w:hAnsi="Arial" w:cs="Arial"/>
          <w:sz w:val="22"/>
          <w:szCs w:val="22"/>
        </w:rPr>
        <w:t xml:space="preserve"> and support</w:t>
      </w:r>
      <w:r w:rsidR="00203E29" w:rsidRPr="00D54E86">
        <w:rPr>
          <w:rFonts w:ascii="Arial" w:hAnsi="Arial" w:cs="Arial"/>
          <w:sz w:val="22"/>
          <w:szCs w:val="22"/>
        </w:rPr>
        <w:t xml:space="preserve"> across the network</w:t>
      </w:r>
      <w:r w:rsidR="00E75B66" w:rsidRPr="00D54E86">
        <w:rPr>
          <w:rFonts w:ascii="Arial" w:hAnsi="Arial" w:cs="Arial"/>
          <w:sz w:val="22"/>
          <w:szCs w:val="22"/>
        </w:rPr>
        <w:t xml:space="preserve">. </w:t>
      </w:r>
    </w:p>
    <w:p w14:paraId="322675E7" w14:textId="77777777" w:rsidR="00203E29" w:rsidRPr="00D54E86" w:rsidRDefault="00203E29" w:rsidP="00976518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</w:p>
    <w:p w14:paraId="2588ED8F" w14:textId="2D1D3192" w:rsidR="00976518" w:rsidRPr="00D54E86" w:rsidRDefault="00203E29" w:rsidP="00976518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 w:rsidRPr="00D54E86">
        <w:rPr>
          <w:rFonts w:ascii="Arial" w:hAnsi="Arial" w:cs="Arial"/>
          <w:sz w:val="22"/>
          <w:szCs w:val="22"/>
        </w:rPr>
        <w:t>In addition, i</w:t>
      </w:r>
      <w:r w:rsidR="00976518" w:rsidRPr="00D54E86">
        <w:rPr>
          <w:rFonts w:ascii="Arial" w:hAnsi="Arial" w:cs="Arial"/>
          <w:sz w:val="22"/>
          <w:szCs w:val="22"/>
        </w:rPr>
        <w:t xml:space="preserve">ndividual stories of the </w:t>
      </w:r>
      <w:r w:rsidRPr="00D54E86">
        <w:rPr>
          <w:rFonts w:ascii="Arial" w:hAnsi="Arial" w:cs="Arial"/>
          <w:sz w:val="22"/>
          <w:szCs w:val="22"/>
        </w:rPr>
        <w:t xml:space="preserve">human impact of the work </w:t>
      </w:r>
      <w:r w:rsidR="00AE36A3">
        <w:rPr>
          <w:rFonts w:ascii="Arial" w:hAnsi="Arial" w:cs="Arial"/>
          <w:sz w:val="22"/>
          <w:szCs w:val="22"/>
        </w:rPr>
        <w:t xml:space="preserve">of </w:t>
      </w:r>
      <w:r w:rsidRPr="00D54E86">
        <w:rPr>
          <w:rFonts w:ascii="Arial" w:hAnsi="Arial" w:cs="Arial"/>
          <w:sz w:val="22"/>
          <w:szCs w:val="22"/>
        </w:rPr>
        <w:t xml:space="preserve">anchor institutions </w:t>
      </w:r>
      <w:r w:rsidR="009D2913">
        <w:rPr>
          <w:rFonts w:ascii="Arial" w:hAnsi="Arial" w:cs="Arial"/>
          <w:sz w:val="22"/>
          <w:szCs w:val="22"/>
        </w:rPr>
        <w:t>are</w:t>
      </w:r>
      <w:r w:rsidR="009D2913" w:rsidRPr="00D54E86">
        <w:rPr>
          <w:rFonts w:ascii="Arial" w:hAnsi="Arial" w:cs="Arial"/>
          <w:sz w:val="22"/>
          <w:szCs w:val="22"/>
        </w:rPr>
        <w:t xml:space="preserve"> </w:t>
      </w:r>
      <w:r w:rsidRPr="00D54E86">
        <w:rPr>
          <w:rFonts w:ascii="Arial" w:hAnsi="Arial" w:cs="Arial"/>
          <w:sz w:val="22"/>
          <w:szCs w:val="22"/>
        </w:rPr>
        <w:t xml:space="preserve">also critical to communicating the value of </w:t>
      </w:r>
      <w:r w:rsidR="00E75B66" w:rsidRPr="00D54E86">
        <w:rPr>
          <w:rFonts w:ascii="Arial" w:hAnsi="Arial" w:cs="Arial"/>
          <w:sz w:val="22"/>
          <w:szCs w:val="22"/>
        </w:rPr>
        <w:t>this</w:t>
      </w:r>
      <w:r w:rsidRPr="00D54E86">
        <w:rPr>
          <w:rFonts w:ascii="Arial" w:hAnsi="Arial" w:cs="Arial"/>
          <w:sz w:val="22"/>
          <w:szCs w:val="22"/>
        </w:rPr>
        <w:t xml:space="preserve"> work</w:t>
      </w:r>
      <w:r w:rsidR="00F856E1" w:rsidRPr="00D54E86">
        <w:rPr>
          <w:rFonts w:ascii="Arial" w:hAnsi="Arial" w:cs="Arial"/>
          <w:sz w:val="22"/>
          <w:szCs w:val="22"/>
        </w:rPr>
        <w:t xml:space="preserve">, and the LAIN programme team will continue to work with communications </w:t>
      </w:r>
      <w:r w:rsidR="009D2913">
        <w:rPr>
          <w:rFonts w:ascii="Arial" w:hAnsi="Arial" w:cs="Arial"/>
          <w:sz w:val="22"/>
          <w:szCs w:val="22"/>
        </w:rPr>
        <w:t xml:space="preserve">and other </w:t>
      </w:r>
      <w:r w:rsidR="00F856E1" w:rsidRPr="00D54E86">
        <w:rPr>
          <w:rFonts w:ascii="Arial" w:hAnsi="Arial" w:cs="Arial"/>
          <w:sz w:val="22"/>
          <w:szCs w:val="22"/>
        </w:rPr>
        <w:t>colleagues across the network to gather and share these.</w:t>
      </w:r>
    </w:p>
    <w:p w14:paraId="6BB8C430" w14:textId="7C83AE8A" w:rsidR="00976518" w:rsidRPr="00D54E86" w:rsidRDefault="00976518" w:rsidP="00976518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</w:p>
    <w:p w14:paraId="3599F3B8" w14:textId="4158475D" w:rsidR="00384937" w:rsidRPr="009D2913" w:rsidRDefault="009D2913" w:rsidP="00976518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  <w:u w:val="single"/>
        </w:rPr>
      </w:pPr>
      <w:r w:rsidRPr="009D2913">
        <w:rPr>
          <w:rFonts w:ascii="Arial" w:hAnsi="Arial" w:cs="Arial"/>
          <w:sz w:val="22"/>
          <w:szCs w:val="22"/>
          <w:u w:val="single"/>
        </w:rPr>
        <w:t>Proposed metrics</w:t>
      </w:r>
    </w:p>
    <w:p w14:paraId="6E27AE23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03505BD2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t>Hiring and Skills </w:t>
      </w: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3CDF385E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7B73A748" w14:textId="511027F6" w:rsidR="007C747D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Overall </w:t>
      </w:r>
      <w:r w:rsidR="007C747D" w:rsidRPr="00D54E86">
        <w:rPr>
          <w:rFonts w:ascii="Arial" w:hAnsi="Arial" w:cs="Arial"/>
          <w:sz w:val="22"/>
          <w:szCs w:val="22"/>
          <w:lang w:eastAsia="en-GB"/>
        </w:rPr>
        <w:t>goal</w:t>
      </w:r>
      <w:r w:rsidRPr="00D54E86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811164">
        <w:rPr>
          <w:rFonts w:ascii="Arial" w:hAnsi="Arial" w:cs="Arial"/>
          <w:sz w:val="22"/>
          <w:szCs w:val="22"/>
          <w:lang w:eastAsia="en-GB"/>
        </w:rPr>
        <w:t>Support ‘good work’ and t</w:t>
      </w:r>
      <w:r w:rsidRPr="00D54E86">
        <w:rPr>
          <w:rFonts w:ascii="Arial" w:hAnsi="Arial" w:cs="Arial"/>
          <w:sz w:val="22"/>
          <w:szCs w:val="22"/>
          <w:lang w:eastAsia="en-GB"/>
        </w:rPr>
        <w:t xml:space="preserve">ake steps to </w:t>
      </w:r>
      <w:r w:rsidR="00D54E86">
        <w:rPr>
          <w:rFonts w:ascii="Arial" w:hAnsi="Arial" w:cs="Arial"/>
          <w:sz w:val="22"/>
          <w:szCs w:val="22"/>
          <w:lang w:eastAsia="en-GB"/>
        </w:rPr>
        <w:t>make</w:t>
      </w:r>
      <w:r w:rsidR="00F856E1" w:rsidRPr="00D54E8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54E86"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F856E1" w:rsidRPr="00D54E86">
        <w:rPr>
          <w:rFonts w:ascii="Arial" w:hAnsi="Arial" w:cs="Arial"/>
          <w:sz w:val="22"/>
          <w:szCs w:val="22"/>
          <w:lang w:eastAsia="en-GB"/>
        </w:rPr>
        <w:t xml:space="preserve">workforces </w:t>
      </w:r>
      <w:r w:rsidRPr="00D54E86">
        <w:rPr>
          <w:rFonts w:ascii="Arial" w:hAnsi="Arial" w:cs="Arial"/>
          <w:sz w:val="22"/>
          <w:szCs w:val="22"/>
          <w:lang w:eastAsia="en-GB"/>
        </w:rPr>
        <w:t xml:space="preserve">representative of London’s communities </w:t>
      </w:r>
    </w:p>
    <w:p w14:paraId="617B5745" w14:textId="77777777" w:rsidR="007C747D" w:rsidRPr="00D54E86" w:rsidRDefault="007C747D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5A824704" w14:textId="7D098B2E" w:rsidR="00384937" w:rsidRPr="00D54E86" w:rsidRDefault="007C747D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Key deliverables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>: </w:t>
      </w:r>
    </w:p>
    <w:p w14:paraId="52EB3F44" w14:textId="5A0F4256" w:rsidR="00384937" w:rsidRPr="00D54E86" w:rsidRDefault="007C747D" w:rsidP="00384937">
      <w:pPr>
        <w:numPr>
          <w:ilvl w:val="0"/>
          <w:numId w:val="26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H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>elp more Londoners from target populations into good work (including L</w:t>
      </w:r>
      <w:r w:rsidR="00F856E1" w:rsidRPr="00D54E86">
        <w:rPr>
          <w:rFonts w:ascii="Arial" w:hAnsi="Arial" w:cs="Arial"/>
          <w:sz w:val="22"/>
          <w:szCs w:val="22"/>
          <w:lang w:eastAsia="en-GB"/>
        </w:rPr>
        <w:t xml:space="preserve">ondon 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>L</w:t>
      </w:r>
      <w:r w:rsidR="00F856E1" w:rsidRPr="00D54E86">
        <w:rPr>
          <w:rFonts w:ascii="Arial" w:hAnsi="Arial" w:cs="Arial"/>
          <w:sz w:val="22"/>
          <w:szCs w:val="22"/>
          <w:lang w:eastAsia="en-GB"/>
        </w:rPr>
        <w:t xml:space="preserve">iving 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>W</w:t>
      </w:r>
      <w:r w:rsidR="00F856E1" w:rsidRPr="00D54E86">
        <w:rPr>
          <w:rFonts w:ascii="Arial" w:hAnsi="Arial" w:cs="Arial"/>
          <w:sz w:val="22"/>
          <w:szCs w:val="22"/>
          <w:lang w:eastAsia="en-GB"/>
        </w:rPr>
        <w:t>age (LLW)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 xml:space="preserve"> paying apprenticeships)  </w:t>
      </w:r>
    </w:p>
    <w:p w14:paraId="25E6F33D" w14:textId="38C2DD2E" w:rsidR="00384937" w:rsidRPr="00D54E86" w:rsidRDefault="00811164" w:rsidP="00384937">
      <w:pPr>
        <w:numPr>
          <w:ilvl w:val="0"/>
          <w:numId w:val="26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Make progress in closing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our 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>gender, ethnicity and disability pay gaps </w:t>
      </w:r>
    </w:p>
    <w:p w14:paraId="280E3557" w14:textId="5EEAA81E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6B407A6F" w14:textId="3B9F695A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Progress measures:</w:t>
      </w:r>
    </w:p>
    <w:p w14:paraId="44211DB3" w14:textId="0439308F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LLW apprenticeships in the last financial year (ideally broken down by target population with the aim of being representative of London’s working age population)  </w:t>
      </w:r>
    </w:p>
    <w:p w14:paraId="457D46BA" w14:textId="210898EC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supported internships in the last financial year  </w:t>
      </w:r>
    </w:p>
    <w:p w14:paraId="720F1A38" w14:textId="61DF4756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people from target populations recruited in the last financial year  </w:t>
      </w:r>
    </w:p>
    <w:p w14:paraId="486DCF94" w14:textId="3DCA0496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Amount in £x of Apprenticeship Levy pledged in the last financial year  </w:t>
      </w:r>
    </w:p>
    <w:p w14:paraId="37C136B6" w14:textId="11D29D2E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Gender </w:t>
      </w:r>
      <w:proofErr w:type="gramStart"/>
      <w:r w:rsidRPr="00D54E86">
        <w:rPr>
          <w:rFonts w:ascii="Arial" w:hAnsi="Arial" w:cs="Arial"/>
          <w:sz w:val="22"/>
          <w:szCs w:val="22"/>
          <w:lang w:eastAsia="en-GB"/>
        </w:rPr>
        <w:t>pay</w:t>
      </w:r>
      <w:proofErr w:type="gramEnd"/>
      <w:r w:rsidRPr="00D54E86">
        <w:rPr>
          <w:rFonts w:ascii="Arial" w:hAnsi="Arial" w:cs="Arial"/>
          <w:sz w:val="22"/>
          <w:szCs w:val="22"/>
          <w:lang w:eastAsia="en-GB"/>
        </w:rPr>
        <w:t xml:space="preserve"> gap narrowed over the past financial year OR published for the first time </w:t>
      </w:r>
    </w:p>
    <w:p w14:paraId="0A5CA4B5" w14:textId="5990BB35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lastRenderedPageBreak/>
        <w:t>Ethnicity pay gap narrowed over the past financial year OR published for the first time  </w:t>
      </w:r>
    </w:p>
    <w:p w14:paraId="1F277D43" w14:textId="206AB48D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Disability pay gap narrowed over the past financial year OR published for the first time  </w:t>
      </w:r>
    </w:p>
    <w:p w14:paraId="48FD2E15" w14:textId="4193953B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Achievement of Disability Confident or the next level of the scheme </w:t>
      </w:r>
    </w:p>
    <w:p w14:paraId="2CD7A2FD" w14:textId="7A26F500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Achievement of London Living Wage accreditation </w:t>
      </w:r>
      <w:r w:rsidR="00976518" w:rsidRPr="00D54E86">
        <w:rPr>
          <w:rFonts w:ascii="Arial" w:hAnsi="Arial" w:cs="Arial"/>
          <w:sz w:val="22"/>
          <w:szCs w:val="22"/>
          <w:lang w:eastAsia="en-GB"/>
        </w:rPr>
        <w:t xml:space="preserve">(and no. of staff whose pay is uplifted as a result) </w:t>
      </w:r>
    </w:p>
    <w:p w14:paraId="00A76630" w14:textId="17583FB2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Achievement of Good Work Standard accreditation  </w:t>
      </w:r>
    </w:p>
    <w:p w14:paraId="5DDD735D" w14:textId="3107E7E6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671AFFC2" w14:textId="77777777" w:rsidR="00384937" w:rsidRPr="00D54E86" w:rsidRDefault="00384937" w:rsidP="00384937">
      <w:pPr>
        <w:textAlignment w:val="baseline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39FA95B" w14:textId="66FBDB5A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t>Mentoring Young People</w:t>
      </w:r>
      <w:r w:rsidRPr="00D54E86">
        <w:rPr>
          <w:rFonts w:ascii="Arial" w:hAnsi="Arial" w:cs="Arial"/>
          <w:sz w:val="22"/>
          <w:szCs w:val="22"/>
          <w:lang w:eastAsia="en-GB"/>
        </w:rPr>
        <w:t>:  </w:t>
      </w:r>
    </w:p>
    <w:p w14:paraId="6F30B11E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02290F77" w14:textId="59FAB3F9" w:rsidR="007C747D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Overall </w:t>
      </w:r>
      <w:r w:rsidR="007C747D" w:rsidRPr="00D54E86">
        <w:rPr>
          <w:rFonts w:ascii="Arial" w:hAnsi="Arial" w:cs="Arial"/>
          <w:sz w:val="22"/>
          <w:szCs w:val="22"/>
          <w:lang w:eastAsia="en-GB"/>
        </w:rPr>
        <w:t>goal</w:t>
      </w:r>
      <w:r w:rsidRPr="00D54E86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811164">
        <w:rPr>
          <w:rFonts w:ascii="Arial" w:hAnsi="Arial" w:cs="Arial"/>
          <w:sz w:val="22"/>
          <w:szCs w:val="22"/>
          <w:lang w:eastAsia="en-GB"/>
        </w:rPr>
        <w:t>I</w:t>
      </w:r>
      <w:r w:rsidR="007C747D" w:rsidRPr="00D54E86">
        <w:rPr>
          <w:rFonts w:ascii="Arial" w:hAnsi="Arial" w:cs="Arial"/>
          <w:sz w:val="22"/>
          <w:szCs w:val="22"/>
        </w:rPr>
        <w:t>mprove life chances and opportunities for disadvantaged young Londoners through quality mentoring</w:t>
      </w:r>
      <w:r w:rsidR="008162A8">
        <w:rPr>
          <w:rFonts w:ascii="Arial" w:hAnsi="Arial" w:cs="Arial"/>
          <w:sz w:val="22"/>
          <w:szCs w:val="22"/>
        </w:rPr>
        <w:t xml:space="preserve"> </w:t>
      </w:r>
      <w:r w:rsidR="008162A8" w:rsidRPr="008162A8">
        <w:rPr>
          <w:rFonts w:ascii="Arial" w:hAnsi="Arial" w:cs="Arial"/>
          <w:sz w:val="22"/>
          <w:szCs w:val="22"/>
        </w:rPr>
        <w:t xml:space="preserve">in line with the </w:t>
      </w:r>
      <w:r w:rsidR="008162A8">
        <w:rPr>
          <w:rFonts w:ascii="Arial" w:hAnsi="Arial" w:cs="Arial"/>
          <w:sz w:val="22"/>
          <w:szCs w:val="22"/>
        </w:rPr>
        <w:t xml:space="preserve">London </w:t>
      </w:r>
      <w:r w:rsidR="008162A8" w:rsidRPr="008162A8">
        <w:rPr>
          <w:rFonts w:ascii="Arial" w:hAnsi="Arial" w:cs="Arial"/>
          <w:sz w:val="22"/>
          <w:szCs w:val="22"/>
        </w:rPr>
        <w:t>Recovery Programme’s New Deal for Young People mission</w:t>
      </w:r>
    </w:p>
    <w:p w14:paraId="31B37570" w14:textId="77777777" w:rsidR="007C747D" w:rsidRPr="00D54E86" w:rsidRDefault="007C747D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3A07BA6B" w14:textId="155D9605" w:rsidR="00384937" w:rsidRPr="00D54E86" w:rsidRDefault="007C747D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Key deliverables: </w:t>
      </w:r>
      <w:r w:rsidR="00D54E86" w:rsidRPr="00D54E86">
        <w:rPr>
          <w:rFonts w:ascii="Arial" w:hAnsi="Arial" w:cs="Arial"/>
          <w:sz w:val="22"/>
          <w:szCs w:val="22"/>
          <w:lang w:eastAsia="en-GB"/>
        </w:rPr>
        <w:t>W</w:t>
      </w:r>
      <w:r w:rsidRPr="00D54E86">
        <w:rPr>
          <w:rFonts w:ascii="Arial" w:hAnsi="Arial" w:cs="Arial"/>
          <w:sz w:val="22"/>
          <w:szCs w:val="22"/>
        </w:rPr>
        <w:t xml:space="preserve">ork in partnership with </w:t>
      </w:r>
      <w:r w:rsidRPr="00D54E86">
        <w:rPr>
          <w:rStyle w:val="xnormaltextrun"/>
          <w:rFonts w:ascii="Arial" w:hAnsi="Arial" w:cs="Arial"/>
          <w:sz w:val="22"/>
          <w:szCs w:val="22"/>
        </w:rPr>
        <w:t>the voluntary and community sector and youth support organisations to identify, train and match mentors with young people most in need</w:t>
      </w:r>
      <w:r w:rsidR="00384937" w:rsidRPr="00D54E86">
        <w:rPr>
          <w:rFonts w:ascii="Arial" w:hAnsi="Arial" w:cs="Arial"/>
          <w:sz w:val="22"/>
          <w:szCs w:val="22"/>
          <w:lang w:eastAsia="en-GB"/>
        </w:rPr>
        <w:t>.  </w:t>
      </w:r>
    </w:p>
    <w:p w14:paraId="558771B6" w14:textId="6DAA98B5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44B15B7A" w14:textId="6188AA00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Progress measures: </w:t>
      </w:r>
    </w:p>
    <w:p w14:paraId="482240F6" w14:textId="52EEAFC5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bookmarkStart w:id="0" w:name="_Hlk127361428"/>
      <w:r w:rsidRPr="00D54E86">
        <w:rPr>
          <w:rFonts w:ascii="Arial" w:hAnsi="Arial" w:cs="Arial"/>
          <w:sz w:val="22"/>
          <w:szCs w:val="22"/>
          <w:lang w:eastAsia="en-GB"/>
        </w:rPr>
        <w:t>No. of mentors identified in the last financial year  </w:t>
      </w:r>
    </w:p>
    <w:p w14:paraId="65230225" w14:textId="29D9F661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mentors completing mentoring training in the last financial year  </w:t>
      </w:r>
    </w:p>
    <w:p w14:paraId="0B162B0C" w14:textId="29CDAA9A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mentors matched with mentees in the last financial year  </w:t>
      </w:r>
    </w:p>
    <w:bookmarkEnd w:id="0"/>
    <w:p w14:paraId="6C7E2A86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3F32353D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043147FF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t>Procurement</w:t>
      </w: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71A3A526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46302AE7" w14:textId="540375BF" w:rsidR="00D54E86" w:rsidRPr="00D54E86" w:rsidRDefault="00384937" w:rsidP="00384937">
      <w:p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 xml:space="preserve">Overall </w:t>
      </w:r>
      <w:r w:rsidR="00FC7794">
        <w:rPr>
          <w:rFonts w:ascii="Arial" w:hAnsi="Arial" w:cs="Arial"/>
          <w:color w:val="000000"/>
          <w:sz w:val="22"/>
          <w:szCs w:val="22"/>
          <w:lang w:eastAsia="en-GB"/>
        </w:rPr>
        <w:t>goal</w:t>
      </w: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 xml:space="preserve">: </w:t>
      </w:r>
      <w:r w:rsidR="00811164">
        <w:rPr>
          <w:rFonts w:ascii="Arial" w:hAnsi="Arial" w:cs="Arial"/>
          <w:color w:val="000000"/>
          <w:sz w:val="22"/>
          <w:szCs w:val="22"/>
          <w:lang w:eastAsia="en-GB"/>
        </w:rPr>
        <w:t>Support inclusive economic growth by b</w:t>
      </w:r>
      <w:r w:rsidR="00811164" w:rsidRPr="00811164">
        <w:rPr>
          <w:rFonts w:ascii="Arial" w:hAnsi="Arial" w:cs="Arial"/>
          <w:color w:val="000000"/>
          <w:sz w:val="22"/>
          <w:szCs w:val="22"/>
          <w:lang w:eastAsia="en-GB"/>
        </w:rPr>
        <w:t>uying a greater share of our goods and services from London-based micro, small, medium-sized and/or diverse businesses</w:t>
      </w:r>
      <w:r w:rsidR="0081116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09B3E455" w14:textId="77777777" w:rsidR="00D54E86" w:rsidRPr="00D54E86" w:rsidRDefault="00D54E86" w:rsidP="00384937">
      <w:p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E03A6C1" w14:textId="1492B5E7" w:rsidR="00384937" w:rsidRPr="00D54E86" w:rsidRDefault="00D54E86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 xml:space="preserve">Key deliverables: </w:t>
      </w:r>
      <w:r w:rsidR="00811164">
        <w:rPr>
          <w:rFonts w:ascii="Arial" w:hAnsi="Arial" w:cs="Arial"/>
          <w:color w:val="000000"/>
          <w:sz w:val="22"/>
          <w:szCs w:val="22"/>
          <w:lang w:eastAsia="en-GB"/>
        </w:rPr>
        <w:t>Increase the proportion</w:t>
      </w:r>
      <w:r w:rsidR="00384937" w:rsidRPr="00D54E86">
        <w:rPr>
          <w:rFonts w:ascii="Arial" w:hAnsi="Arial" w:cs="Arial"/>
          <w:color w:val="000000"/>
          <w:sz w:val="22"/>
          <w:szCs w:val="22"/>
          <w:lang w:eastAsia="en-GB"/>
        </w:rPr>
        <w:t xml:space="preserve"> of goods and services to be purchased from micro, small and medium-sized enterprises (MSMEs) and diverse-owned businesses in this financial year (distinguishing between direct spend and tier 1 spend).  </w:t>
      </w:r>
    </w:p>
    <w:p w14:paraId="5D210F01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19686BB1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Progress measures: </w:t>
      </w:r>
    </w:p>
    <w:p w14:paraId="584991D9" w14:textId="6AD07765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Overall spend amount </w:t>
      </w:r>
      <w:r w:rsidR="00811164">
        <w:rPr>
          <w:rFonts w:ascii="Arial" w:hAnsi="Arial" w:cs="Arial"/>
          <w:sz w:val="22"/>
          <w:szCs w:val="22"/>
          <w:lang w:eastAsia="en-GB"/>
        </w:rPr>
        <w:t xml:space="preserve">and proportion </w:t>
      </w:r>
      <w:r w:rsidRPr="00D54E86">
        <w:rPr>
          <w:rFonts w:ascii="Arial" w:hAnsi="Arial" w:cs="Arial"/>
          <w:sz w:val="22"/>
          <w:szCs w:val="22"/>
          <w:lang w:eastAsia="en-GB"/>
        </w:rPr>
        <w:t>- where possible, broken down as follows:   </w:t>
      </w:r>
    </w:p>
    <w:p w14:paraId="196D0EAC" w14:textId="77777777" w:rsidR="00384937" w:rsidRPr="00D54E86" w:rsidRDefault="00384937" w:rsidP="00384937">
      <w:pPr>
        <w:numPr>
          <w:ilvl w:val="0"/>
          <w:numId w:val="22"/>
        </w:numPr>
        <w:ind w:left="144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D</w:t>
      </w:r>
      <w:r w:rsidRPr="00D54E86">
        <w:rPr>
          <w:rFonts w:ascii="Arial" w:hAnsi="Arial" w:cs="Arial"/>
          <w:sz w:val="22"/>
          <w:szCs w:val="22"/>
          <w:lang w:eastAsia="en-GB"/>
        </w:rPr>
        <w:t>irect spend and tier 1 spend </w:t>
      </w: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  </w:t>
      </w:r>
    </w:p>
    <w:p w14:paraId="07D891FD" w14:textId="77777777" w:rsidR="00384937" w:rsidRPr="00D54E86" w:rsidRDefault="00384937" w:rsidP="00384937">
      <w:pPr>
        <w:numPr>
          <w:ilvl w:val="0"/>
          <w:numId w:val="22"/>
        </w:numPr>
        <w:ind w:left="144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 xml:space="preserve">Spend with </w:t>
      </w:r>
      <w:r w:rsidRPr="00D54E86">
        <w:rPr>
          <w:rFonts w:ascii="Arial" w:hAnsi="Arial" w:cs="Arial"/>
          <w:sz w:val="22"/>
          <w:szCs w:val="22"/>
          <w:lang w:eastAsia="en-GB"/>
        </w:rPr>
        <w:t>micro and small businesses </w:t>
      </w:r>
      <w:r w:rsidRPr="00D54E86">
        <w:rPr>
          <w:rFonts w:ascii="Arial" w:hAnsi="Arial" w:cs="Arial"/>
          <w:color w:val="000000"/>
          <w:sz w:val="22"/>
          <w:szCs w:val="22"/>
          <w:lang w:val="en-US" w:eastAsia="en-GB"/>
        </w:rPr>
        <w:t> </w:t>
      </w: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 </w:t>
      </w:r>
    </w:p>
    <w:p w14:paraId="1A653E8D" w14:textId="77777777" w:rsidR="00384937" w:rsidRPr="00D54E86" w:rsidRDefault="00384937" w:rsidP="00384937">
      <w:pPr>
        <w:numPr>
          <w:ilvl w:val="0"/>
          <w:numId w:val="22"/>
        </w:numPr>
        <w:ind w:left="144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 xml:space="preserve">Spend with </w:t>
      </w:r>
      <w:r w:rsidRPr="00D54E86">
        <w:rPr>
          <w:rFonts w:ascii="Arial" w:hAnsi="Arial" w:cs="Arial"/>
          <w:sz w:val="22"/>
          <w:szCs w:val="22"/>
          <w:lang w:eastAsia="en-GB"/>
        </w:rPr>
        <w:t>diverse-owned businesses </w:t>
      </w:r>
      <w:r w:rsidRPr="00D54E86">
        <w:rPr>
          <w:rFonts w:ascii="Arial" w:hAnsi="Arial" w:cs="Arial"/>
          <w:color w:val="000000"/>
          <w:sz w:val="22"/>
          <w:szCs w:val="22"/>
          <w:lang w:val="en-US" w:eastAsia="en-GB"/>
        </w:rPr>
        <w:t> </w:t>
      </w: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 </w:t>
      </w:r>
    </w:p>
    <w:p w14:paraId="391D5E12" w14:textId="77777777" w:rsidR="00384937" w:rsidRPr="00D54E86" w:rsidRDefault="00384937" w:rsidP="00384937">
      <w:pPr>
        <w:numPr>
          <w:ilvl w:val="0"/>
          <w:numId w:val="22"/>
        </w:numPr>
        <w:ind w:left="144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Spend with VCSEs</w:t>
      </w:r>
      <w:r w:rsidRPr="00D54E86">
        <w:rPr>
          <w:rFonts w:ascii="Arial" w:hAnsi="Arial" w:cs="Arial"/>
          <w:color w:val="000000"/>
          <w:sz w:val="22"/>
          <w:szCs w:val="22"/>
          <w:lang w:val="en-US" w:eastAsia="en-GB"/>
        </w:rPr>
        <w:t> </w:t>
      </w: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 </w:t>
      </w:r>
    </w:p>
    <w:p w14:paraId="36AEB0E1" w14:textId="77777777" w:rsidR="00384937" w:rsidRPr="00D54E86" w:rsidRDefault="00384937" w:rsidP="00384937">
      <w:pPr>
        <w:numPr>
          <w:ilvl w:val="0"/>
          <w:numId w:val="22"/>
        </w:numPr>
        <w:ind w:left="144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Spend with London-based MSMEs</w:t>
      </w:r>
      <w:r w:rsidRPr="00D54E86">
        <w:rPr>
          <w:rFonts w:ascii="Arial" w:hAnsi="Arial" w:cs="Arial"/>
          <w:color w:val="000000"/>
          <w:sz w:val="22"/>
          <w:szCs w:val="22"/>
          <w:lang w:val="en-US" w:eastAsia="en-GB"/>
        </w:rPr>
        <w:t> </w:t>
      </w: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 </w:t>
      </w:r>
    </w:p>
    <w:p w14:paraId="66C4877F" w14:textId="28C76862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and £ of contracts reserved for MSMEs in this financial year   </w:t>
      </w:r>
    </w:p>
    <w:p w14:paraId="1C8EF239" w14:textId="04FC369F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MSMEs that contracted for goods/services in this financial year (where possible, broken down as above)   </w:t>
      </w:r>
    </w:p>
    <w:p w14:paraId="32EF3B71" w14:textId="5AC81C05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London MSMEs reached through market engagement/ supplier readiness activities this financial year (where possible, broken down as above)   </w:t>
      </w:r>
    </w:p>
    <w:p w14:paraId="1EC82383" w14:textId="49E7D6BD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procurement staff who completed e-learning module this financial year    </w:t>
      </w:r>
    </w:p>
    <w:p w14:paraId="7F071AAC" w14:textId="5E25F237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Steps taken to change procurement process to reduce barriers to MSMEs and diverse-owned businesses [a qualitative measure] </w:t>
      </w:r>
    </w:p>
    <w:p w14:paraId="4E9740A1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1B973BFA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13E4B758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Green New Deal</w:t>
      </w:r>
      <w:r w:rsidRPr="00D54E86">
        <w:rPr>
          <w:rFonts w:ascii="Arial" w:hAnsi="Arial" w:cs="Arial"/>
          <w:sz w:val="22"/>
          <w:szCs w:val="22"/>
          <w:lang w:eastAsia="en-GB"/>
        </w:rPr>
        <w:t>:   </w:t>
      </w:r>
    </w:p>
    <w:p w14:paraId="485A766C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5CA48568" w14:textId="23C8F3B6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Overall </w:t>
      </w:r>
      <w:r w:rsidR="007C747D" w:rsidRPr="00D54E86">
        <w:rPr>
          <w:rFonts w:ascii="Arial" w:hAnsi="Arial" w:cs="Arial"/>
          <w:sz w:val="22"/>
          <w:szCs w:val="22"/>
          <w:lang w:eastAsia="en-GB"/>
        </w:rPr>
        <w:t>goal</w:t>
      </w:r>
      <w:r w:rsidRPr="00D54E86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811164">
        <w:rPr>
          <w:rFonts w:ascii="Arial" w:hAnsi="Arial" w:cs="Arial"/>
          <w:sz w:val="22"/>
          <w:szCs w:val="22"/>
          <w:lang w:eastAsia="en-GB"/>
        </w:rPr>
        <w:t>L</w:t>
      </w:r>
      <w:r w:rsidR="00D54E86" w:rsidRPr="00D54E86">
        <w:rPr>
          <w:rFonts w:ascii="Arial" w:hAnsi="Arial" w:cs="Arial"/>
          <w:sz w:val="22"/>
          <w:szCs w:val="22"/>
          <w:lang w:eastAsia="en-GB"/>
        </w:rPr>
        <w:t>ead London’s net zero efforts by accelerating estate decarbonisation</w:t>
      </w:r>
    </w:p>
    <w:p w14:paraId="26E019C7" w14:textId="7B671B4E" w:rsidR="007C747D" w:rsidRPr="00D54E86" w:rsidRDefault="007C747D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3D8F7E7D" w14:textId="203A17F1" w:rsidR="007C747D" w:rsidRPr="00D54E86" w:rsidRDefault="007C747D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Key deliverables: </w:t>
      </w:r>
    </w:p>
    <w:p w14:paraId="11EC9005" w14:textId="20F4DEE5" w:rsidR="00D54E86" w:rsidRPr="00D54E86" w:rsidRDefault="00D54E86" w:rsidP="00384937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Decarbonising </w:t>
      </w:r>
      <w:r w:rsidR="00811164">
        <w:rPr>
          <w:rFonts w:ascii="Arial" w:hAnsi="Arial" w:cs="Arial"/>
          <w:sz w:val="22"/>
          <w:szCs w:val="22"/>
          <w:lang w:eastAsia="en-GB"/>
        </w:rPr>
        <w:t xml:space="preserve">our </w:t>
      </w:r>
      <w:r w:rsidRPr="00D54E86">
        <w:rPr>
          <w:rFonts w:ascii="Arial" w:hAnsi="Arial" w:cs="Arial"/>
          <w:sz w:val="22"/>
          <w:szCs w:val="22"/>
          <w:lang w:eastAsia="en-GB"/>
        </w:rPr>
        <w:t xml:space="preserve">estates </w:t>
      </w:r>
    </w:p>
    <w:p w14:paraId="35F8BE5D" w14:textId="38458545" w:rsidR="00D54E86" w:rsidRPr="00D54E86" w:rsidRDefault="00D54E86" w:rsidP="00384937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Ensuring a robust and trained workforce to meet decarbonisation needs</w:t>
      </w:r>
    </w:p>
    <w:p w14:paraId="0E687DDA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 </w:t>
      </w:r>
    </w:p>
    <w:p w14:paraId="2CEB76F9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Progress measures: </w:t>
      </w:r>
    </w:p>
    <w:p w14:paraId="45878D97" w14:textId="4450C1E0" w:rsidR="00D54E86" w:rsidRPr="00D54E86" w:rsidRDefault="00D54E86" w:rsidP="00D54E86">
      <w:pPr>
        <w:pStyle w:val="ListParagraph"/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 xml:space="preserve">Net </w:t>
      </w:r>
      <w:r w:rsidR="00811164">
        <w:rPr>
          <w:rFonts w:ascii="Arial" w:hAnsi="Arial" w:cs="Arial"/>
          <w:sz w:val="22"/>
          <w:szCs w:val="22"/>
          <w:lang w:eastAsia="en-GB"/>
        </w:rPr>
        <w:t>z</w:t>
      </w:r>
      <w:r w:rsidRPr="00D54E86">
        <w:rPr>
          <w:rFonts w:ascii="Arial" w:hAnsi="Arial" w:cs="Arial"/>
          <w:sz w:val="22"/>
          <w:szCs w:val="22"/>
          <w:lang w:eastAsia="en-GB"/>
        </w:rPr>
        <w:t>ero targets in place (plus any interim targets)  </w:t>
      </w:r>
    </w:p>
    <w:p w14:paraId="59B0BE9A" w14:textId="60400898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Sqm of estate identified for decarbonisation (and by when)  </w:t>
      </w:r>
    </w:p>
    <w:p w14:paraId="6C8D12CD" w14:textId="19E863D7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Sqm of estate retrofitted in the last financial year   </w:t>
      </w:r>
    </w:p>
    <w:p w14:paraId="7B174226" w14:textId="034AE62F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Tonnes of CO2e savings achieved in the last financial year    </w:t>
      </w:r>
    </w:p>
    <w:p w14:paraId="4651996D" w14:textId="6B6D3997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projects put forward to the regional estate decarbonisation pipeline in the last financial year   </w:t>
      </w:r>
    </w:p>
    <w:p w14:paraId="4377BA8C" w14:textId="58474F9D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applications submitted for decarbonisation funding in the last financial year   </w:t>
      </w:r>
    </w:p>
    <w:p w14:paraId="633C5F6E" w14:textId="42C6313F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Amount of decarbonisation funding secured in the last financial year   </w:t>
      </w:r>
    </w:p>
    <w:p w14:paraId="1E25DF3F" w14:textId="485C175A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staff who have done carbon literacy training over the last financial year   </w:t>
      </w:r>
    </w:p>
    <w:p w14:paraId="2DF23706" w14:textId="0FF8ACE4" w:rsidR="00384937" w:rsidRPr="00D54E86" w:rsidRDefault="00384937" w:rsidP="00384937">
      <w:pPr>
        <w:numPr>
          <w:ilvl w:val="0"/>
          <w:numId w:val="25"/>
        </w:num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No. of staff who have done environmental sustainability training over the last financial year   </w:t>
      </w:r>
    </w:p>
    <w:p w14:paraId="4035B16E" w14:textId="77777777" w:rsidR="00384937" w:rsidRPr="00D54E86" w:rsidRDefault="00384937" w:rsidP="00384937">
      <w:pPr>
        <w:ind w:left="72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4409FAD0" w14:textId="77777777" w:rsidR="009D2913" w:rsidRDefault="009D2913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66E4910A" w14:textId="4DE7DA79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2F92B5CD" w14:textId="77777777" w:rsidR="009D2913" w:rsidRDefault="009D2913" w:rsidP="009D2913">
      <w:pPr>
        <w:pStyle w:val="paragraph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 w:rsidRPr="00D54E86">
        <w:rPr>
          <w:rFonts w:ascii="Arial" w:hAnsi="Arial" w:cs="Arial"/>
          <w:sz w:val="22"/>
          <w:szCs w:val="22"/>
        </w:rPr>
        <w:t>The steering committee is asked to</w:t>
      </w:r>
      <w:r>
        <w:rPr>
          <w:rFonts w:ascii="Arial" w:hAnsi="Arial" w:cs="Arial"/>
          <w:sz w:val="22"/>
          <w:szCs w:val="22"/>
        </w:rPr>
        <w:t>:</w:t>
      </w:r>
    </w:p>
    <w:p w14:paraId="222BF2E4" w14:textId="3D49AA3E" w:rsidR="009D2913" w:rsidRDefault="009D2913" w:rsidP="009D2913">
      <w:pPr>
        <w:pStyle w:val="paragraph"/>
        <w:numPr>
          <w:ilvl w:val="0"/>
          <w:numId w:val="28"/>
        </w:numPr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feedback on the proposed approach set out in this paper </w:t>
      </w:r>
    </w:p>
    <w:p w14:paraId="75B0B385" w14:textId="5CEEEB74" w:rsidR="009D2913" w:rsidRPr="00D54E86" w:rsidRDefault="009D2913" w:rsidP="009D2913">
      <w:pPr>
        <w:pStyle w:val="paragraph"/>
        <w:numPr>
          <w:ilvl w:val="0"/>
          <w:numId w:val="28"/>
        </w:numPr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54E86">
        <w:rPr>
          <w:rFonts w:ascii="Arial" w:hAnsi="Arial" w:cs="Arial"/>
          <w:sz w:val="22"/>
          <w:szCs w:val="22"/>
        </w:rPr>
        <w:t xml:space="preserve">ote the draft measures </w:t>
      </w:r>
      <w:r>
        <w:rPr>
          <w:rFonts w:ascii="Arial" w:hAnsi="Arial" w:cs="Arial"/>
          <w:sz w:val="22"/>
          <w:szCs w:val="22"/>
        </w:rPr>
        <w:t>above</w:t>
      </w:r>
      <w:r w:rsidRPr="00D54E86">
        <w:rPr>
          <w:rFonts w:ascii="Arial" w:hAnsi="Arial" w:cs="Arial"/>
          <w:sz w:val="22"/>
          <w:szCs w:val="22"/>
        </w:rPr>
        <w:t xml:space="preserve"> and provide any feedback ahead of further discussion with working groups </w:t>
      </w:r>
    </w:p>
    <w:p w14:paraId="699D22CB" w14:textId="16E3E0C4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</w:p>
    <w:p w14:paraId="4C4CB0BE" w14:textId="77777777" w:rsidR="00384937" w:rsidRPr="00D54E86" w:rsidRDefault="00384937" w:rsidP="00384937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54E86">
        <w:rPr>
          <w:rFonts w:ascii="Arial" w:hAnsi="Arial" w:cs="Arial"/>
          <w:sz w:val="22"/>
          <w:szCs w:val="22"/>
          <w:lang w:eastAsia="en-GB"/>
        </w:rPr>
        <w:t> </w:t>
      </w:r>
    </w:p>
    <w:p w14:paraId="54A6954E" w14:textId="77777777" w:rsidR="00AF22A0" w:rsidRPr="00D54E86" w:rsidRDefault="00AF22A0" w:rsidP="00AF22A0">
      <w:pPr>
        <w:rPr>
          <w:rFonts w:ascii="Arial" w:hAnsi="Arial" w:cs="Arial"/>
          <w:sz w:val="22"/>
          <w:szCs w:val="22"/>
        </w:rPr>
      </w:pPr>
    </w:p>
    <w:sectPr w:rsidR="00AF22A0" w:rsidRPr="00D54E86" w:rsidSect="00AF22A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FE62" w14:textId="77777777" w:rsidR="00FD5955" w:rsidRDefault="00FD5955" w:rsidP="006920EA">
      <w:r>
        <w:separator/>
      </w:r>
    </w:p>
  </w:endnote>
  <w:endnote w:type="continuationSeparator" w:id="0">
    <w:p w14:paraId="2F8111BA" w14:textId="77777777" w:rsidR="00FD5955" w:rsidRDefault="00FD5955" w:rsidP="006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318A" w14:textId="77777777" w:rsidR="00FD5955" w:rsidRDefault="00FD5955" w:rsidP="006920EA">
      <w:r>
        <w:separator/>
      </w:r>
    </w:p>
  </w:footnote>
  <w:footnote w:type="continuationSeparator" w:id="0">
    <w:p w14:paraId="4B21F1E2" w14:textId="77777777" w:rsidR="00FD5955" w:rsidRDefault="00FD5955" w:rsidP="0069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D88F" w14:textId="1926B55B" w:rsidR="006920EA" w:rsidRDefault="006920EA" w:rsidP="006920EA">
    <w:pPr>
      <w:pStyle w:val="Header"/>
      <w:jc w:val="right"/>
    </w:pPr>
    <w:r>
      <w:rPr>
        <w:noProof/>
      </w:rPr>
      <w:drawing>
        <wp:inline distT="0" distB="0" distL="0" distR="0" wp14:anchorId="578068A5" wp14:editId="44B372C9">
          <wp:extent cx="1814513" cy="84956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328" cy="85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C98FB" w14:textId="77777777" w:rsidR="006920EA" w:rsidRDefault="00692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EC"/>
    <w:multiLevelType w:val="multilevel"/>
    <w:tmpl w:val="C9E25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1810"/>
    <w:multiLevelType w:val="multilevel"/>
    <w:tmpl w:val="989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BACCD"/>
    <w:multiLevelType w:val="hybridMultilevel"/>
    <w:tmpl w:val="4D96CA94"/>
    <w:lvl w:ilvl="0" w:tplc="46B27A7E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6AD2A">
      <w:start w:val="1"/>
      <w:numFmt w:val="lowerRoman"/>
      <w:lvlText w:val="%3."/>
      <w:lvlJc w:val="right"/>
      <w:pPr>
        <w:ind w:left="2160" w:hanging="180"/>
      </w:pPr>
    </w:lvl>
    <w:lvl w:ilvl="3" w:tplc="D79C176E">
      <w:start w:val="1"/>
      <w:numFmt w:val="decimal"/>
      <w:lvlText w:val="%4."/>
      <w:lvlJc w:val="left"/>
      <w:pPr>
        <w:ind w:left="2880" w:hanging="360"/>
      </w:pPr>
    </w:lvl>
    <w:lvl w:ilvl="4" w:tplc="36CEDB0E">
      <w:start w:val="1"/>
      <w:numFmt w:val="lowerLetter"/>
      <w:lvlText w:val="%5."/>
      <w:lvlJc w:val="left"/>
      <w:pPr>
        <w:ind w:left="3600" w:hanging="360"/>
      </w:pPr>
    </w:lvl>
    <w:lvl w:ilvl="5" w:tplc="61EE8064">
      <w:start w:val="1"/>
      <w:numFmt w:val="lowerRoman"/>
      <w:lvlText w:val="%6."/>
      <w:lvlJc w:val="right"/>
      <w:pPr>
        <w:ind w:left="4320" w:hanging="180"/>
      </w:pPr>
    </w:lvl>
    <w:lvl w:ilvl="6" w:tplc="E6A87ED6">
      <w:start w:val="1"/>
      <w:numFmt w:val="decimal"/>
      <w:lvlText w:val="%7."/>
      <w:lvlJc w:val="left"/>
      <w:pPr>
        <w:ind w:left="5040" w:hanging="360"/>
      </w:pPr>
    </w:lvl>
    <w:lvl w:ilvl="7" w:tplc="5C34A652">
      <w:start w:val="1"/>
      <w:numFmt w:val="lowerLetter"/>
      <w:lvlText w:val="%8."/>
      <w:lvlJc w:val="left"/>
      <w:pPr>
        <w:ind w:left="5760" w:hanging="360"/>
      </w:pPr>
    </w:lvl>
    <w:lvl w:ilvl="8" w:tplc="21866E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1471"/>
    <w:multiLevelType w:val="multilevel"/>
    <w:tmpl w:val="E8A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574973"/>
    <w:multiLevelType w:val="multilevel"/>
    <w:tmpl w:val="F6140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846D52"/>
    <w:multiLevelType w:val="multilevel"/>
    <w:tmpl w:val="5E5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C1F79"/>
    <w:multiLevelType w:val="multilevel"/>
    <w:tmpl w:val="43F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F24DE"/>
    <w:multiLevelType w:val="hybridMultilevel"/>
    <w:tmpl w:val="2ECCB6C6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14977"/>
    <w:multiLevelType w:val="hybridMultilevel"/>
    <w:tmpl w:val="4AECC34E"/>
    <w:lvl w:ilvl="0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4387A"/>
    <w:multiLevelType w:val="multilevel"/>
    <w:tmpl w:val="D09C8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B267DF6"/>
    <w:multiLevelType w:val="multilevel"/>
    <w:tmpl w:val="1A5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037AD"/>
    <w:multiLevelType w:val="multilevel"/>
    <w:tmpl w:val="3E7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446B9D"/>
    <w:multiLevelType w:val="multilevel"/>
    <w:tmpl w:val="472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DF6BD9"/>
    <w:multiLevelType w:val="multilevel"/>
    <w:tmpl w:val="7B062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D5109"/>
    <w:multiLevelType w:val="multilevel"/>
    <w:tmpl w:val="FDE00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B5E153D"/>
    <w:multiLevelType w:val="multilevel"/>
    <w:tmpl w:val="F844E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D51721F"/>
    <w:multiLevelType w:val="hybridMultilevel"/>
    <w:tmpl w:val="D4C0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67E27"/>
    <w:multiLevelType w:val="multilevel"/>
    <w:tmpl w:val="EABE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B5813"/>
    <w:multiLevelType w:val="multilevel"/>
    <w:tmpl w:val="2550F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300656A"/>
    <w:multiLevelType w:val="hybridMultilevel"/>
    <w:tmpl w:val="A222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853B2"/>
    <w:multiLevelType w:val="hybridMultilevel"/>
    <w:tmpl w:val="43FA46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C3D94"/>
    <w:multiLevelType w:val="multilevel"/>
    <w:tmpl w:val="3C1C6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408F9"/>
    <w:multiLevelType w:val="multilevel"/>
    <w:tmpl w:val="E8BCF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0420A"/>
    <w:multiLevelType w:val="multilevel"/>
    <w:tmpl w:val="82E4D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4B33981"/>
    <w:multiLevelType w:val="multilevel"/>
    <w:tmpl w:val="85F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B20D14"/>
    <w:multiLevelType w:val="multilevel"/>
    <w:tmpl w:val="C262A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EE907E2"/>
    <w:multiLevelType w:val="multilevel"/>
    <w:tmpl w:val="49B40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23"/>
  </w:num>
  <w:num w:numId="5">
    <w:abstractNumId w:val="13"/>
  </w:num>
  <w:num w:numId="6">
    <w:abstractNumId w:val="25"/>
  </w:num>
  <w:num w:numId="7">
    <w:abstractNumId w:val="26"/>
  </w:num>
  <w:num w:numId="8">
    <w:abstractNumId w:val="21"/>
  </w:num>
  <w:num w:numId="9">
    <w:abstractNumId w:val="9"/>
  </w:num>
  <w:num w:numId="10">
    <w:abstractNumId w:val="0"/>
  </w:num>
  <w:num w:numId="11">
    <w:abstractNumId w:val="14"/>
  </w:num>
  <w:num w:numId="12">
    <w:abstractNumId w:val="24"/>
  </w:num>
  <w:num w:numId="13">
    <w:abstractNumId w:val="15"/>
  </w:num>
  <w:num w:numId="14">
    <w:abstractNumId w:val="2"/>
  </w:num>
  <w:num w:numId="15">
    <w:abstractNumId w:val="20"/>
  </w:num>
  <w:num w:numId="16">
    <w:abstractNumId w:val="8"/>
  </w:num>
  <w:num w:numId="17">
    <w:abstractNumId w:val="7"/>
  </w:num>
  <w:num w:numId="18">
    <w:abstractNumId w:val="6"/>
  </w:num>
  <w:num w:numId="19">
    <w:abstractNumId w:val="17"/>
  </w:num>
  <w:num w:numId="20">
    <w:abstractNumId w:val="12"/>
  </w:num>
  <w:num w:numId="21">
    <w:abstractNumId w:val="5"/>
  </w:num>
  <w:num w:numId="22">
    <w:abstractNumId w:val="18"/>
  </w:num>
  <w:num w:numId="23">
    <w:abstractNumId w:val="3"/>
  </w:num>
  <w:num w:numId="24">
    <w:abstractNumId w:val="11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74"/>
    <w:rsid w:val="000027DC"/>
    <w:rsid w:val="000136B9"/>
    <w:rsid w:val="00027056"/>
    <w:rsid w:val="00075AEC"/>
    <w:rsid w:val="0017399D"/>
    <w:rsid w:val="00203E29"/>
    <w:rsid w:val="002B4D0F"/>
    <w:rsid w:val="002E66FC"/>
    <w:rsid w:val="003362DC"/>
    <w:rsid w:val="0035694F"/>
    <w:rsid w:val="0037682A"/>
    <w:rsid w:val="00384937"/>
    <w:rsid w:val="00635251"/>
    <w:rsid w:val="00652D30"/>
    <w:rsid w:val="006920EA"/>
    <w:rsid w:val="006F0972"/>
    <w:rsid w:val="007C747D"/>
    <w:rsid w:val="007F0DD9"/>
    <w:rsid w:val="00811164"/>
    <w:rsid w:val="008112E3"/>
    <w:rsid w:val="008162A8"/>
    <w:rsid w:val="00816494"/>
    <w:rsid w:val="00820571"/>
    <w:rsid w:val="0086222D"/>
    <w:rsid w:val="00942F6E"/>
    <w:rsid w:val="00976518"/>
    <w:rsid w:val="00997498"/>
    <w:rsid w:val="009D2913"/>
    <w:rsid w:val="009E79E4"/>
    <w:rsid w:val="00A233A3"/>
    <w:rsid w:val="00A71F74"/>
    <w:rsid w:val="00AC4D47"/>
    <w:rsid w:val="00AE36A3"/>
    <w:rsid w:val="00AF22A0"/>
    <w:rsid w:val="00D42F0F"/>
    <w:rsid w:val="00D43831"/>
    <w:rsid w:val="00D54E86"/>
    <w:rsid w:val="00DF070C"/>
    <w:rsid w:val="00E75B66"/>
    <w:rsid w:val="00F030C5"/>
    <w:rsid w:val="00F82A79"/>
    <w:rsid w:val="00F856E1"/>
    <w:rsid w:val="00FC7794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D0942"/>
  <w15:chartTrackingRefBased/>
  <w15:docId w15:val="{08CBCFF3-BD7A-4C3D-96A5-C7CCE54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A71F74"/>
    <w:rPr>
      <w:rFonts w:ascii="Foundry Form Sans" w:hAnsi="Foundry Form Sans"/>
      <w:lang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A71F74"/>
    <w:pPr>
      <w:ind w:left="720"/>
      <w:contextualSpacing/>
    </w:pPr>
    <w:rPr>
      <w:sz w:val="20"/>
      <w:szCs w:val="20"/>
    </w:rPr>
  </w:style>
  <w:style w:type="paragraph" w:customStyle="1" w:styleId="paragraph">
    <w:name w:val="paragraph"/>
    <w:basedOn w:val="Normal"/>
    <w:rsid w:val="00A71F74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customStyle="1" w:styleId="eop">
    <w:name w:val="eop"/>
    <w:basedOn w:val="DefaultParagraphFont"/>
    <w:rsid w:val="00A71F74"/>
  </w:style>
  <w:style w:type="character" w:customStyle="1" w:styleId="normaltextrun">
    <w:name w:val="normaltextrun"/>
    <w:basedOn w:val="DefaultParagraphFont"/>
    <w:rsid w:val="00652D30"/>
  </w:style>
  <w:style w:type="paragraph" w:styleId="Header">
    <w:name w:val="header"/>
    <w:basedOn w:val="Normal"/>
    <w:link w:val="HeaderChar"/>
    <w:uiPriority w:val="99"/>
    <w:unhideWhenUsed/>
    <w:rsid w:val="00692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EA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92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20EA"/>
    <w:rPr>
      <w:rFonts w:ascii="Foundry Form Sans" w:hAnsi="Foundry Form Sans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62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6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2DC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2DC"/>
    <w:rPr>
      <w:rFonts w:ascii="Foundry Form Sans" w:hAnsi="Foundry Form Sans"/>
      <w:b/>
      <w:bCs/>
      <w:lang w:eastAsia="en-US"/>
    </w:rPr>
  </w:style>
  <w:style w:type="paragraph" w:customStyle="1" w:styleId="xparagraph">
    <w:name w:val="x_paragraph"/>
    <w:basedOn w:val="Normal"/>
    <w:rsid w:val="00A233A3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customStyle="1" w:styleId="xnormaltextrun">
    <w:name w:val="x_normaltextrun"/>
    <w:basedOn w:val="DefaultParagraphFont"/>
    <w:rsid w:val="00A2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D43845244D41B420C3650A88C6CC" ma:contentTypeVersion="12" ma:contentTypeDescription="Create a new document." ma:contentTypeScope="" ma:versionID="3bb2e2ae56f36f14dba169f061144b54">
  <xsd:schema xmlns:xsd="http://www.w3.org/2001/XMLSchema" xmlns:xs="http://www.w3.org/2001/XMLSchema" xmlns:p="http://schemas.microsoft.com/office/2006/metadata/properties" xmlns:ns2="197aba29-beb8-4ded-9a2a-0fbcdbc33849" xmlns:ns3="9d869b1b-30aa-452e-8322-be1ea12c43f3" targetNamespace="http://schemas.microsoft.com/office/2006/metadata/properties" ma:root="true" ma:fieldsID="babd1b96bdebc7e25ec8314f868f7740" ns2:_="" ns3:_="">
    <xsd:import namespace="197aba29-beb8-4ded-9a2a-0fbcdbc33849"/>
    <xsd:import namespace="9d869b1b-30aa-452e-8322-be1ea12c4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aba29-beb8-4ded-9a2a-0fbcdbc3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36a9ce-4aa2-40fa-b369-7befe32098f5}" ma:internalName="TaxCatchAll" ma:showField="CatchAllData" ma:web="197aba29-beb8-4ded-9a2a-0fbcdbc33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69b1b-30aa-452e-8322-be1ea12c4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7aba29-beb8-4ded-9a2a-0fbcdbc33849" xsi:nil="true"/>
    <lcf76f155ced4ddcb4097134ff3c332f xmlns="9d869b1b-30aa-452e-8322-be1ea12c43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79E73-1CC0-431B-8257-1E33C3582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4AD7D-D3F0-4524-BF0E-18D5488C3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50166-97B1-4770-839E-A9AB24F9B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aba29-beb8-4ded-9a2a-0fbcdbc33849"/>
    <ds:schemaRef ds:uri="9d869b1b-30aa-452e-8322-be1ea12c4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0E2ED-3237-44EE-A901-27A2B0A7F8B1}">
  <ds:schemaRefs>
    <ds:schemaRef ds:uri="http://schemas.microsoft.com/office/2006/metadata/properties"/>
    <ds:schemaRef ds:uri="http://schemas.microsoft.com/office/infopath/2007/PartnerControls"/>
    <ds:schemaRef ds:uri="197aba29-beb8-4ded-9a2a-0fbcdbc33849"/>
    <ds:schemaRef ds:uri="9d869b1b-30aa-452e-8322-be1ea12c4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Souraya Ali</dc:creator>
  <cp:keywords/>
  <dc:description/>
  <cp:lastModifiedBy>Souraya Ali</cp:lastModifiedBy>
  <cp:revision>2</cp:revision>
  <dcterms:created xsi:type="dcterms:W3CDTF">2023-02-16T11:14:00Z</dcterms:created>
  <dcterms:modified xsi:type="dcterms:W3CDTF">2023-02-16T11:14:00Z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0x010100A3F6D43845244D41B420C3650A88C6CC</vt:lpwstr>
  </property>
  <property fmtid="{D5CDD505-2E9C-101B-9397-08002B2CF9AE}" pid="3" name="MediaServiceImageTags">
    <vt:lpwstr/>
  </property>
</Properties>
</file>