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523F" w14:textId="12CC3283" w:rsidR="00027056" w:rsidRPr="00027056" w:rsidRDefault="00027056" w:rsidP="00A71F74">
      <w:pPr>
        <w:pStyle w:val="paragraph"/>
        <w:spacing w:before="0" w:beforeAutospacing="0" w:after="0" w:afterAutospacing="0" w:line="252" w:lineRule="auto"/>
        <w:rPr>
          <w:rFonts w:ascii="Arial" w:hAnsi="Arial" w:cs="Arial"/>
          <w:b/>
          <w:bCs/>
          <w:sz w:val="22"/>
          <w:szCs w:val="22"/>
        </w:rPr>
      </w:pPr>
      <w:r w:rsidRPr="00027056">
        <w:rPr>
          <w:rFonts w:ascii="Arial" w:hAnsi="Arial" w:cs="Arial"/>
          <w:b/>
          <w:bCs/>
          <w:sz w:val="22"/>
          <w:szCs w:val="22"/>
        </w:rPr>
        <w:t xml:space="preserve">London Anchor Institutions Network </w:t>
      </w:r>
      <w:r>
        <w:rPr>
          <w:rFonts w:ascii="Arial" w:hAnsi="Arial" w:cs="Arial"/>
          <w:b/>
          <w:bCs/>
          <w:sz w:val="22"/>
          <w:szCs w:val="22"/>
        </w:rPr>
        <w:t>(LAIN)</w:t>
      </w:r>
    </w:p>
    <w:p w14:paraId="4B1B1FCF" w14:textId="6DD4AC0F" w:rsidR="00696C59" w:rsidRPr="00696C59" w:rsidRDefault="00027056" w:rsidP="00027056">
      <w:pPr>
        <w:textAlignment w:val="baseline"/>
        <w:rPr>
          <w:rFonts w:ascii="Segoe UI" w:hAnsi="Segoe UI" w:cs="Segoe UI"/>
          <w:sz w:val="18"/>
          <w:szCs w:val="18"/>
          <w:lang w:eastAsia="en-GB"/>
        </w:rPr>
      </w:pPr>
      <w:r w:rsidRPr="00027056">
        <w:rPr>
          <w:rFonts w:ascii="Arial" w:hAnsi="Arial" w:cs="Arial"/>
          <w:b/>
          <w:bCs/>
          <w:sz w:val="22"/>
          <w:szCs w:val="22"/>
          <w:lang w:eastAsia="en-GB"/>
        </w:rPr>
        <w:t xml:space="preserve">Steering Committee </w:t>
      </w:r>
      <w:r w:rsidR="00696C59">
        <w:rPr>
          <w:rFonts w:ascii="Arial" w:hAnsi="Arial" w:cs="Arial"/>
          <w:b/>
          <w:bCs/>
          <w:sz w:val="22"/>
          <w:szCs w:val="22"/>
          <w:lang w:eastAsia="en-GB"/>
        </w:rPr>
        <w:t xml:space="preserve">meeting: 21 February </w:t>
      </w:r>
      <w:r w:rsidR="00696C59" w:rsidRPr="00027056">
        <w:rPr>
          <w:rFonts w:ascii="Arial" w:hAnsi="Arial" w:cs="Arial"/>
          <w:b/>
          <w:bCs/>
          <w:sz w:val="22"/>
          <w:szCs w:val="22"/>
          <w:lang w:eastAsia="en-GB"/>
        </w:rPr>
        <w:t>202</w:t>
      </w:r>
      <w:r w:rsidR="00696C59">
        <w:rPr>
          <w:rFonts w:ascii="Arial" w:hAnsi="Arial" w:cs="Arial"/>
          <w:b/>
          <w:bCs/>
          <w:sz w:val="22"/>
          <w:szCs w:val="22"/>
          <w:lang w:eastAsia="en-GB"/>
        </w:rPr>
        <w:t>3</w:t>
      </w:r>
      <w:r w:rsidR="00696C59" w:rsidRPr="00027056">
        <w:rPr>
          <w:rFonts w:ascii="Arial" w:hAnsi="Arial" w:cs="Arial"/>
          <w:sz w:val="22"/>
          <w:szCs w:val="22"/>
          <w:lang w:eastAsia="en-GB"/>
        </w:rPr>
        <w:t> </w:t>
      </w:r>
    </w:p>
    <w:p w14:paraId="0709E8C4" w14:textId="74DC865A" w:rsidR="00027056" w:rsidRPr="00027056" w:rsidRDefault="00027056" w:rsidP="00027056">
      <w:pPr>
        <w:textAlignment w:val="baseline"/>
        <w:rPr>
          <w:rFonts w:ascii="Segoe UI" w:hAnsi="Segoe UI" w:cs="Segoe UI"/>
          <w:sz w:val="18"/>
          <w:szCs w:val="18"/>
          <w:lang w:eastAsia="en-GB"/>
        </w:rPr>
      </w:pPr>
      <w:r w:rsidRPr="00027056">
        <w:rPr>
          <w:rFonts w:ascii="Arial" w:hAnsi="Arial" w:cs="Arial"/>
          <w:b/>
          <w:bCs/>
          <w:sz w:val="22"/>
          <w:szCs w:val="22"/>
          <w:lang w:eastAsia="en-GB"/>
        </w:rPr>
        <w:t xml:space="preserve">Paper: </w:t>
      </w:r>
      <w:r>
        <w:rPr>
          <w:rFonts w:ascii="Arial" w:hAnsi="Arial" w:cs="Arial"/>
          <w:b/>
          <w:bCs/>
          <w:sz w:val="22"/>
          <w:szCs w:val="22"/>
          <w:lang w:eastAsia="en-GB"/>
        </w:rPr>
        <w:t xml:space="preserve">Summary of network impact by working group </w:t>
      </w:r>
      <w:r w:rsidRPr="00027056">
        <w:rPr>
          <w:rFonts w:ascii="Arial" w:hAnsi="Arial" w:cs="Arial"/>
          <w:sz w:val="22"/>
          <w:szCs w:val="22"/>
          <w:lang w:eastAsia="en-GB"/>
        </w:rPr>
        <w:t> </w:t>
      </w:r>
    </w:p>
    <w:p w14:paraId="5DAF21E6" w14:textId="77777777" w:rsidR="00027056" w:rsidRDefault="00027056" w:rsidP="00A71F74">
      <w:pPr>
        <w:pStyle w:val="paragraph"/>
        <w:spacing w:before="0" w:beforeAutospacing="0" w:after="0" w:afterAutospacing="0" w:line="252" w:lineRule="auto"/>
        <w:rPr>
          <w:rFonts w:ascii="Arial" w:hAnsi="Arial" w:cs="Arial"/>
          <w:sz w:val="22"/>
          <w:szCs w:val="22"/>
        </w:rPr>
      </w:pPr>
    </w:p>
    <w:p w14:paraId="13C4F090" w14:textId="2A865B88" w:rsidR="00091965" w:rsidRDefault="006920EA" w:rsidP="00A71F74">
      <w:pPr>
        <w:pStyle w:val="paragraph"/>
        <w:spacing w:before="0" w:beforeAutospacing="0" w:after="0" w:afterAutospacing="0" w:line="252" w:lineRule="auto"/>
        <w:rPr>
          <w:rFonts w:ascii="Arial" w:hAnsi="Arial" w:cs="Arial"/>
          <w:sz w:val="22"/>
          <w:szCs w:val="22"/>
        </w:rPr>
      </w:pPr>
      <w:r>
        <w:rPr>
          <w:rFonts w:ascii="Arial" w:hAnsi="Arial" w:cs="Arial"/>
          <w:sz w:val="22"/>
          <w:szCs w:val="22"/>
        </w:rPr>
        <w:t>In preparation for LAIN’s annual conference last month, members from across the network shared data and q</w:t>
      </w:r>
      <w:r w:rsidR="00027056">
        <w:rPr>
          <w:rFonts w:ascii="Arial" w:hAnsi="Arial" w:cs="Arial"/>
          <w:sz w:val="22"/>
          <w:szCs w:val="22"/>
        </w:rPr>
        <w:t xml:space="preserve">ualitative </w:t>
      </w:r>
      <w:r>
        <w:rPr>
          <w:rFonts w:ascii="Arial" w:hAnsi="Arial" w:cs="Arial"/>
          <w:sz w:val="22"/>
          <w:szCs w:val="22"/>
        </w:rPr>
        <w:t>information about activity and achievements over the past year relating to their commitments and working group deliverables</w:t>
      </w:r>
      <w:r w:rsidR="00091965">
        <w:rPr>
          <w:rFonts w:ascii="Arial" w:hAnsi="Arial" w:cs="Arial"/>
          <w:sz w:val="22"/>
          <w:szCs w:val="22"/>
        </w:rPr>
        <w:t xml:space="preserve"> - from London Living Wage and Good Work Standard accreditations to supported internship for neurodiverse Londoners, from reserved contracts for SMEs to supplier readiness programmes targeting diverse-owned businesses, and from new net zero targets to carbon literacy training for staff. </w:t>
      </w:r>
      <w:r w:rsidR="00E27110">
        <w:rPr>
          <w:rFonts w:ascii="Arial" w:hAnsi="Arial" w:cs="Arial"/>
          <w:sz w:val="22"/>
          <w:szCs w:val="22"/>
        </w:rPr>
        <w:t xml:space="preserve"> </w:t>
      </w:r>
    </w:p>
    <w:p w14:paraId="4BFFF463" w14:textId="77777777" w:rsidR="00091965" w:rsidRDefault="00091965" w:rsidP="00A71F74">
      <w:pPr>
        <w:pStyle w:val="paragraph"/>
        <w:spacing w:before="0" w:beforeAutospacing="0" w:after="0" w:afterAutospacing="0" w:line="252" w:lineRule="auto"/>
        <w:rPr>
          <w:rFonts w:ascii="Arial" w:hAnsi="Arial" w:cs="Arial"/>
          <w:sz w:val="22"/>
          <w:szCs w:val="22"/>
        </w:rPr>
      </w:pPr>
    </w:p>
    <w:p w14:paraId="4622FD79" w14:textId="6B0222DA" w:rsidR="00E27110" w:rsidRDefault="00E27110" w:rsidP="00A71F74">
      <w:pPr>
        <w:pStyle w:val="paragraph"/>
        <w:spacing w:before="0" w:beforeAutospacing="0" w:after="0" w:afterAutospacing="0" w:line="252" w:lineRule="auto"/>
        <w:rPr>
          <w:rFonts w:ascii="Arial" w:hAnsi="Arial" w:cs="Arial"/>
          <w:sz w:val="22"/>
          <w:szCs w:val="22"/>
        </w:rPr>
      </w:pPr>
      <w:r>
        <w:rPr>
          <w:rFonts w:ascii="Arial" w:hAnsi="Arial" w:cs="Arial"/>
          <w:sz w:val="22"/>
          <w:szCs w:val="22"/>
        </w:rPr>
        <w:t>A</w:t>
      </w:r>
      <w:r w:rsidR="006920EA">
        <w:rPr>
          <w:rFonts w:ascii="Arial" w:hAnsi="Arial" w:cs="Arial"/>
          <w:sz w:val="22"/>
          <w:szCs w:val="22"/>
        </w:rPr>
        <w:t xml:space="preserve"> summary of </w:t>
      </w:r>
      <w:r>
        <w:rPr>
          <w:rFonts w:ascii="Arial" w:hAnsi="Arial" w:cs="Arial"/>
          <w:sz w:val="22"/>
          <w:szCs w:val="22"/>
        </w:rPr>
        <w:t>this</w:t>
      </w:r>
      <w:r w:rsidR="006920EA">
        <w:rPr>
          <w:rFonts w:ascii="Arial" w:hAnsi="Arial" w:cs="Arial"/>
          <w:sz w:val="22"/>
          <w:szCs w:val="22"/>
        </w:rPr>
        <w:t xml:space="preserve"> is provided below.</w:t>
      </w:r>
      <w:r w:rsidR="002B4D0F">
        <w:rPr>
          <w:rFonts w:ascii="Arial" w:hAnsi="Arial" w:cs="Arial"/>
          <w:sz w:val="22"/>
          <w:szCs w:val="22"/>
        </w:rPr>
        <w:t xml:space="preserve"> </w:t>
      </w:r>
      <w:r w:rsidR="006920EA">
        <w:rPr>
          <w:rFonts w:ascii="Arial" w:hAnsi="Arial" w:cs="Arial"/>
          <w:sz w:val="22"/>
          <w:szCs w:val="22"/>
        </w:rPr>
        <w:t xml:space="preserve">This not only shows the scale of what is already being achieved by the network, but also provides a helpful baseline on which to build. </w:t>
      </w:r>
      <w:r>
        <w:rPr>
          <w:rFonts w:ascii="Arial" w:hAnsi="Arial" w:cs="Arial"/>
          <w:sz w:val="22"/>
          <w:szCs w:val="22"/>
        </w:rPr>
        <w:t xml:space="preserve">Information is also provided about future priorities and deliverables. </w:t>
      </w:r>
    </w:p>
    <w:p w14:paraId="780EB06D" w14:textId="66933850" w:rsidR="00F562F4" w:rsidRDefault="00F562F4" w:rsidP="00A71F74">
      <w:pPr>
        <w:pStyle w:val="paragraph"/>
        <w:spacing w:before="0" w:beforeAutospacing="0" w:after="0" w:afterAutospacing="0" w:line="252" w:lineRule="auto"/>
        <w:rPr>
          <w:rFonts w:ascii="Arial" w:hAnsi="Arial" w:cs="Arial"/>
          <w:sz w:val="22"/>
          <w:szCs w:val="22"/>
        </w:rPr>
      </w:pPr>
    </w:p>
    <w:p w14:paraId="38E43280" w14:textId="6CC26A22" w:rsidR="00F562F4" w:rsidRDefault="00F562F4" w:rsidP="00A71F74">
      <w:pPr>
        <w:pStyle w:val="paragraph"/>
        <w:spacing w:before="0" w:beforeAutospacing="0" w:after="0" w:afterAutospacing="0" w:line="252" w:lineRule="auto"/>
        <w:rPr>
          <w:rFonts w:ascii="Arial" w:hAnsi="Arial" w:cs="Arial"/>
          <w:sz w:val="22"/>
          <w:szCs w:val="22"/>
        </w:rPr>
      </w:pPr>
      <w:r>
        <w:rPr>
          <w:rFonts w:ascii="Arial" w:hAnsi="Arial" w:cs="Arial"/>
          <w:sz w:val="22"/>
          <w:szCs w:val="22"/>
        </w:rPr>
        <w:t xml:space="preserve">The steering committee is invited to share any feedback on the information below, including considering how the network’s progress can be further amplified both publicly and within members’ own organisations. A comms toolkit is being developed to support members with this. </w:t>
      </w:r>
    </w:p>
    <w:p w14:paraId="762C896E" w14:textId="0357757F" w:rsidR="00027056" w:rsidRDefault="00027056" w:rsidP="00A71F74">
      <w:pPr>
        <w:pStyle w:val="paragraph"/>
        <w:spacing w:before="0" w:beforeAutospacing="0" w:after="0" w:afterAutospacing="0" w:line="252" w:lineRule="auto"/>
        <w:rPr>
          <w:rFonts w:ascii="Arial" w:hAnsi="Arial" w:cs="Arial"/>
          <w:sz w:val="22"/>
          <w:szCs w:val="22"/>
        </w:rPr>
      </w:pPr>
    </w:p>
    <w:p w14:paraId="7EE354E1" w14:textId="6AB9CFE4" w:rsidR="00A71F74" w:rsidRPr="006920EA" w:rsidRDefault="00A71F74" w:rsidP="00A71F74">
      <w:pPr>
        <w:pStyle w:val="paragraph"/>
        <w:spacing w:before="0" w:beforeAutospacing="0" w:after="0" w:afterAutospacing="0" w:line="252" w:lineRule="auto"/>
        <w:rPr>
          <w:rFonts w:ascii="Arial" w:hAnsi="Arial" w:cs="Arial"/>
          <w:b/>
          <w:bCs/>
          <w:sz w:val="22"/>
          <w:szCs w:val="22"/>
        </w:rPr>
      </w:pPr>
      <w:r w:rsidRPr="006920EA">
        <w:rPr>
          <w:rFonts w:ascii="Arial" w:hAnsi="Arial" w:cs="Arial"/>
          <w:b/>
          <w:bCs/>
          <w:sz w:val="22"/>
          <w:szCs w:val="22"/>
        </w:rPr>
        <w:t>Hiring and Ski</w:t>
      </w:r>
      <w:r w:rsidR="006920EA" w:rsidRPr="006920EA">
        <w:rPr>
          <w:rFonts w:ascii="Arial" w:hAnsi="Arial" w:cs="Arial"/>
          <w:b/>
          <w:bCs/>
          <w:sz w:val="22"/>
          <w:szCs w:val="22"/>
        </w:rPr>
        <w:t>lls</w:t>
      </w:r>
    </w:p>
    <w:p w14:paraId="723C2649" w14:textId="19F84597" w:rsidR="00A71F74" w:rsidRPr="00027056" w:rsidRDefault="00A71F74" w:rsidP="00A71F74">
      <w:pPr>
        <w:pStyle w:val="paragraph"/>
        <w:spacing w:before="0" w:beforeAutospacing="0" w:after="0" w:afterAutospacing="0" w:line="252" w:lineRule="auto"/>
        <w:rPr>
          <w:rFonts w:ascii="Arial" w:hAnsi="Arial" w:cs="Arial"/>
          <w:sz w:val="22"/>
          <w:szCs w:val="22"/>
        </w:rPr>
      </w:pPr>
    </w:p>
    <w:p w14:paraId="0895A3C0" w14:textId="6FDEE4C4" w:rsidR="00A71F74"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On the Hiring and Skills side, members have been focussing on maximising good work opportunities for Londoners and being more representative of the communities they serve. </w:t>
      </w:r>
    </w:p>
    <w:p w14:paraId="6FB7BF82" w14:textId="29FD44B6" w:rsidR="00A71F74" w:rsidRPr="00027056" w:rsidRDefault="00A71F74" w:rsidP="00027056">
      <w:pPr>
        <w:pStyle w:val="paragraph"/>
        <w:spacing w:before="0" w:beforeAutospacing="0" w:after="0" w:afterAutospacing="0" w:line="252" w:lineRule="auto"/>
        <w:ind w:left="720" w:hanging="436"/>
        <w:rPr>
          <w:rFonts w:ascii="Arial" w:hAnsi="Arial" w:cs="Arial"/>
          <w:sz w:val="22"/>
          <w:szCs w:val="22"/>
        </w:rPr>
      </w:pPr>
    </w:p>
    <w:p w14:paraId="773AD85B" w14:textId="1CE53DE1" w:rsidR="00A71F74"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This includes </w:t>
      </w:r>
      <w:proofErr w:type="gramStart"/>
      <w:r w:rsidRPr="00027056">
        <w:rPr>
          <w:rFonts w:ascii="Arial" w:hAnsi="Arial" w:cs="Arial"/>
          <w:sz w:val="22"/>
          <w:szCs w:val="22"/>
        </w:rPr>
        <w:t>opening up</w:t>
      </w:r>
      <w:proofErr w:type="gramEnd"/>
      <w:r w:rsidRPr="00027056">
        <w:rPr>
          <w:rFonts w:ascii="Arial" w:hAnsi="Arial" w:cs="Arial"/>
          <w:sz w:val="22"/>
          <w:szCs w:val="22"/>
        </w:rPr>
        <w:t xml:space="preserve"> employment opportunities for those who are underrepresented in the labour market</w:t>
      </w:r>
      <w:r w:rsidR="00E27110">
        <w:rPr>
          <w:rFonts w:ascii="Arial" w:hAnsi="Arial" w:cs="Arial"/>
          <w:sz w:val="22"/>
          <w:szCs w:val="22"/>
        </w:rPr>
        <w:t>, including some very targeted work with specific cohorts who face particular barriers to employment</w:t>
      </w:r>
      <w:r w:rsidRPr="00027056">
        <w:rPr>
          <w:rFonts w:ascii="Arial" w:hAnsi="Arial" w:cs="Arial"/>
          <w:sz w:val="22"/>
          <w:szCs w:val="22"/>
        </w:rPr>
        <w:t xml:space="preserve"> - from Thames Water’s work with prison leavers through to Film London’s work with career </w:t>
      </w:r>
      <w:r w:rsidR="0086222D" w:rsidRPr="00027056">
        <w:rPr>
          <w:rFonts w:ascii="Arial" w:hAnsi="Arial" w:cs="Arial"/>
          <w:sz w:val="22"/>
          <w:szCs w:val="22"/>
        </w:rPr>
        <w:t>r</w:t>
      </w:r>
      <w:r w:rsidRPr="00027056">
        <w:rPr>
          <w:rFonts w:ascii="Arial" w:hAnsi="Arial" w:cs="Arial"/>
          <w:sz w:val="22"/>
          <w:szCs w:val="22"/>
        </w:rPr>
        <w:t>eturners</w:t>
      </w:r>
      <w:r w:rsidR="00E27110">
        <w:rPr>
          <w:rFonts w:ascii="Arial" w:hAnsi="Arial" w:cs="Arial"/>
          <w:sz w:val="22"/>
          <w:szCs w:val="22"/>
        </w:rPr>
        <w:t xml:space="preserve"> and the NHS’s work with refugees</w:t>
      </w:r>
      <w:r w:rsidRPr="00027056">
        <w:rPr>
          <w:rFonts w:ascii="Arial" w:hAnsi="Arial" w:cs="Arial"/>
          <w:sz w:val="22"/>
          <w:szCs w:val="22"/>
        </w:rPr>
        <w:t>. </w:t>
      </w:r>
      <w:r w:rsidR="00652D30" w:rsidRPr="00027056">
        <w:rPr>
          <w:rFonts w:ascii="Arial" w:hAnsi="Arial" w:cs="Arial"/>
          <w:sz w:val="22"/>
          <w:szCs w:val="22"/>
        </w:rPr>
        <w:t xml:space="preserve">Collectively, members have reported offering </w:t>
      </w:r>
      <w:r w:rsidR="00652D30" w:rsidRPr="00995C8E">
        <w:rPr>
          <w:rFonts w:ascii="Arial" w:hAnsi="Arial" w:cs="Arial"/>
          <w:b/>
          <w:bCs/>
          <w:sz w:val="22"/>
          <w:szCs w:val="22"/>
        </w:rPr>
        <w:t>80 supported internships for neurodiverse Londoners and those with learning disabilities</w:t>
      </w:r>
      <w:r w:rsidR="00652D30" w:rsidRPr="00027056">
        <w:rPr>
          <w:rFonts w:ascii="Arial" w:hAnsi="Arial" w:cs="Arial"/>
          <w:sz w:val="22"/>
          <w:szCs w:val="22"/>
        </w:rPr>
        <w:t xml:space="preserve"> in the past year, but with more data due at the end of the financial year, that number will rise. </w:t>
      </w:r>
    </w:p>
    <w:p w14:paraId="18D5E845" w14:textId="6117FD19" w:rsidR="00652D30" w:rsidRPr="00027056" w:rsidRDefault="00652D30" w:rsidP="00027056">
      <w:pPr>
        <w:pStyle w:val="paragraph"/>
        <w:spacing w:before="0" w:beforeAutospacing="0" w:after="0" w:afterAutospacing="0" w:line="252" w:lineRule="auto"/>
        <w:ind w:hanging="436"/>
        <w:rPr>
          <w:rFonts w:ascii="Arial" w:hAnsi="Arial" w:cs="Arial"/>
          <w:sz w:val="22"/>
          <w:szCs w:val="22"/>
        </w:rPr>
      </w:pPr>
    </w:p>
    <w:p w14:paraId="70559DF1" w14:textId="4F379DB2" w:rsidR="00652D30" w:rsidRPr="00027056" w:rsidRDefault="00652D30"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Members have </w:t>
      </w:r>
      <w:r w:rsidRPr="00EC2D3B">
        <w:rPr>
          <w:rFonts w:ascii="Arial" w:hAnsi="Arial" w:cs="Arial"/>
          <w:b/>
          <w:bCs/>
          <w:sz w:val="22"/>
          <w:szCs w:val="22"/>
        </w:rPr>
        <w:t>directly supported over 4,000 apprentices</w:t>
      </w:r>
      <w:r w:rsidRPr="00027056">
        <w:rPr>
          <w:rFonts w:ascii="Arial" w:hAnsi="Arial" w:cs="Arial"/>
          <w:sz w:val="22"/>
          <w:szCs w:val="22"/>
        </w:rPr>
        <w:t xml:space="preserve"> in the past year and supported apprenticeship creation across other organisations too. This includes the </w:t>
      </w:r>
      <w:r w:rsidRPr="00995C8E">
        <w:rPr>
          <w:rFonts w:ascii="Arial" w:hAnsi="Arial" w:cs="Arial"/>
          <w:b/>
          <w:bCs/>
          <w:sz w:val="22"/>
          <w:szCs w:val="22"/>
        </w:rPr>
        <w:t>transfer of almost £2m of apprenticeship levy to small and medium</w:t>
      </w:r>
      <w:r w:rsidR="00E27110" w:rsidRPr="00995C8E">
        <w:rPr>
          <w:rFonts w:ascii="Arial" w:hAnsi="Arial" w:cs="Arial"/>
          <w:b/>
          <w:bCs/>
          <w:sz w:val="22"/>
          <w:szCs w:val="22"/>
        </w:rPr>
        <w:t>-</w:t>
      </w:r>
      <w:r w:rsidRPr="00995C8E">
        <w:rPr>
          <w:rFonts w:ascii="Arial" w:hAnsi="Arial" w:cs="Arial"/>
          <w:b/>
          <w:bCs/>
          <w:sz w:val="22"/>
          <w:szCs w:val="22"/>
        </w:rPr>
        <w:t xml:space="preserve">sized </w:t>
      </w:r>
      <w:r w:rsidR="00995C8E">
        <w:rPr>
          <w:rFonts w:ascii="Arial" w:hAnsi="Arial" w:cs="Arial"/>
          <w:b/>
          <w:bCs/>
          <w:sz w:val="22"/>
          <w:szCs w:val="22"/>
        </w:rPr>
        <w:t xml:space="preserve">enterprises </w:t>
      </w:r>
      <w:r w:rsidR="00995C8E" w:rsidRPr="00995C8E">
        <w:rPr>
          <w:rFonts w:ascii="Arial" w:hAnsi="Arial" w:cs="Arial"/>
          <w:sz w:val="22"/>
          <w:szCs w:val="22"/>
        </w:rPr>
        <w:t>(SMEs)</w:t>
      </w:r>
      <w:r w:rsidRPr="00027056">
        <w:rPr>
          <w:rFonts w:ascii="Arial" w:hAnsi="Arial" w:cs="Arial"/>
          <w:sz w:val="22"/>
          <w:szCs w:val="22"/>
        </w:rPr>
        <w:t xml:space="preserve">, often working with the London Progression Collaboration (LPC).  University of London have now commissioned the LPC to work with the federation, exploring how they can best use their Apprenticeship Levy (estimated to be at least £12m pa) to increase provision of apprenticeships across the </w:t>
      </w:r>
      <w:r w:rsidR="00E3757D">
        <w:rPr>
          <w:rFonts w:ascii="Arial" w:hAnsi="Arial" w:cs="Arial"/>
          <w:sz w:val="22"/>
          <w:szCs w:val="22"/>
        </w:rPr>
        <w:t>f</w:t>
      </w:r>
      <w:r w:rsidRPr="00027056">
        <w:rPr>
          <w:rFonts w:ascii="Arial" w:hAnsi="Arial" w:cs="Arial"/>
          <w:sz w:val="22"/>
          <w:szCs w:val="22"/>
        </w:rPr>
        <w:t>ederation and London SME</w:t>
      </w:r>
      <w:r w:rsidR="00995C8E">
        <w:rPr>
          <w:rFonts w:ascii="Arial" w:hAnsi="Arial" w:cs="Arial"/>
          <w:sz w:val="22"/>
          <w:szCs w:val="22"/>
        </w:rPr>
        <w:t>s</w:t>
      </w:r>
      <w:r w:rsidRPr="00027056">
        <w:rPr>
          <w:rFonts w:ascii="Arial" w:hAnsi="Arial" w:cs="Arial"/>
          <w:sz w:val="22"/>
          <w:szCs w:val="22"/>
        </w:rPr>
        <w:t xml:space="preserve">, with a particular focus on those from vulnerable groups (young people with experience of the care system and criminal justice system).   </w:t>
      </w:r>
    </w:p>
    <w:p w14:paraId="278B1E43" w14:textId="7441B47C" w:rsidR="00A71F74" w:rsidRPr="00027056" w:rsidRDefault="00A71F74" w:rsidP="00027056">
      <w:pPr>
        <w:pStyle w:val="ListParagraph"/>
        <w:ind w:left="0" w:hanging="436"/>
        <w:rPr>
          <w:rFonts w:ascii="Arial" w:hAnsi="Arial" w:cs="Arial"/>
          <w:sz w:val="22"/>
          <w:szCs w:val="22"/>
        </w:rPr>
      </w:pPr>
    </w:p>
    <w:p w14:paraId="54C6B154" w14:textId="77777777" w:rsidR="00EC2D3B" w:rsidRDefault="00A71F74" w:rsidP="00EC2D3B">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Members have also shown strong commitment to fair pay. London Living Wage accreditation is widespread across the </w:t>
      </w:r>
      <w:r w:rsidR="00E3757D">
        <w:rPr>
          <w:rFonts w:ascii="Arial" w:hAnsi="Arial" w:cs="Arial"/>
          <w:sz w:val="22"/>
          <w:szCs w:val="22"/>
        </w:rPr>
        <w:t>n</w:t>
      </w:r>
      <w:r w:rsidRPr="00027056">
        <w:rPr>
          <w:rFonts w:ascii="Arial" w:hAnsi="Arial" w:cs="Arial"/>
          <w:sz w:val="22"/>
          <w:szCs w:val="22"/>
        </w:rPr>
        <w:t xml:space="preserve">etwork, with almost </w:t>
      </w:r>
      <w:r w:rsidRPr="00EC2D3B">
        <w:rPr>
          <w:rFonts w:ascii="Arial" w:hAnsi="Arial" w:cs="Arial"/>
          <w:b/>
          <w:bCs/>
          <w:sz w:val="22"/>
          <w:szCs w:val="22"/>
        </w:rPr>
        <w:t xml:space="preserve">160,000 Londoners working for </w:t>
      </w:r>
      <w:r w:rsidR="00F82A79" w:rsidRPr="00EC2D3B">
        <w:rPr>
          <w:rFonts w:ascii="Arial" w:hAnsi="Arial" w:cs="Arial"/>
          <w:b/>
          <w:bCs/>
          <w:sz w:val="22"/>
          <w:szCs w:val="22"/>
        </w:rPr>
        <w:t xml:space="preserve">a </w:t>
      </w:r>
      <w:r w:rsidRPr="00EC2D3B">
        <w:rPr>
          <w:rFonts w:ascii="Arial" w:hAnsi="Arial" w:cs="Arial"/>
          <w:b/>
          <w:bCs/>
          <w:sz w:val="22"/>
          <w:szCs w:val="22"/>
        </w:rPr>
        <w:t>Living Wage organisation</w:t>
      </w:r>
      <w:r w:rsidR="00F82A79" w:rsidRPr="00EC2D3B">
        <w:rPr>
          <w:rFonts w:ascii="Arial" w:hAnsi="Arial" w:cs="Arial"/>
          <w:b/>
          <w:bCs/>
          <w:sz w:val="22"/>
          <w:szCs w:val="22"/>
        </w:rPr>
        <w:t xml:space="preserve"> in our network</w:t>
      </w:r>
      <w:r w:rsidRPr="00027056">
        <w:rPr>
          <w:rFonts w:ascii="Arial" w:hAnsi="Arial" w:cs="Arial"/>
          <w:sz w:val="22"/>
          <w:szCs w:val="22"/>
        </w:rPr>
        <w:t>. </w:t>
      </w:r>
      <w:r w:rsidR="00652D30" w:rsidRPr="00027056">
        <w:rPr>
          <w:rFonts w:ascii="Arial" w:hAnsi="Arial" w:cs="Arial"/>
          <w:sz w:val="22"/>
          <w:szCs w:val="22"/>
        </w:rPr>
        <w:t xml:space="preserve">The NHS has pledged that 100% of its employers in London will have committed to paying their staff the </w:t>
      </w:r>
      <w:r w:rsidR="00652D30" w:rsidRPr="00027056">
        <w:rPr>
          <w:rFonts w:ascii="Arial" w:hAnsi="Arial" w:cs="Arial"/>
          <w:sz w:val="22"/>
          <w:szCs w:val="22"/>
        </w:rPr>
        <w:lastRenderedPageBreak/>
        <w:t xml:space="preserve">London Living Wage (LLW) by March 2023, with 75% of Trusts in London becoming LLW accredited or on the path to accreditation by that time. 15 Trusts (out of 35) have so far achieved LLW accreditation resulting in an </w:t>
      </w:r>
      <w:r w:rsidR="00652D30" w:rsidRPr="00EC2D3B">
        <w:rPr>
          <w:rFonts w:ascii="Arial" w:hAnsi="Arial" w:cs="Arial"/>
          <w:b/>
          <w:bCs/>
          <w:sz w:val="22"/>
          <w:szCs w:val="22"/>
        </w:rPr>
        <w:t>uplift of pay to almost 6,000 members of staff</w:t>
      </w:r>
      <w:r w:rsidR="00652D30" w:rsidRPr="00027056">
        <w:rPr>
          <w:rFonts w:ascii="Arial" w:hAnsi="Arial" w:cs="Arial"/>
          <w:sz w:val="22"/>
          <w:szCs w:val="22"/>
        </w:rPr>
        <w:t xml:space="preserve"> (more than 2,600 of whom since the start of 2022</w:t>
      </w:r>
      <w:r w:rsidR="0086222D" w:rsidRPr="00027056">
        <w:rPr>
          <w:rFonts w:ascii="Arial" w:hAnsi="Arial" w:cs="Arial"/>
          <w:sz w:val="22"/>
          <w:szCs w:val="22"/>
        </w:rPr>
        <w:t>)</w:t>
      </w:r>
      <w:r w:rsidR="00652D30" w:rsidRPr="00027056">
        <w:rPr>
          <w:rFonts w:ascii="Arial" w:hAnsi="Arial" w:cs="Arial"/>
          <w:sz w:val="22"/>
          <w:szCs w:val="22"/>
        </w:rPr>
        <w:t xml:space="preserve">. </w:t>
      </w:r>
    </w:p>
    <w:p w14:paraId="658DBCD4" w14:textId="77777777" w:rsidR="00EC2D3B" w:rsidRDefault="00EC2D3B" w:rsidP="00EC2D3B">
      <w:pPr>
        <w:pStyle w:val="ListParagraph"/>
        <w:rPr>
          <w:rFonts w:ascii="Arial" w:hAnsi="Arial" w:cs="Arial"/>
          <w:sz w:val="22"/>
          <w:szCs w:val="22"/>
        </w:rPr>
      </w:pPr>
    </w:p>
    <w:p w14:paraId="1B172C30" w14:textId="3BF23AC0" w:rsidR="00A71F74" w:rsidRPr="00EC2D3B" w:rsidRDefault="00A71F74" w:rsidP="00EC2D3B">
      <w:pPr>
        <w:pStyle w:val="paragraph"/>
        <w:numPr>
          <w:ilvl w:val="0"/>
          <w:numId w:val="17"/>
        </w:numPr>
        <w:spacing w:before="0" w:beforeAutospacing="0" w:after="0" w:afterAutospacing="0" w:line="252" w:lineRule="auto"/>
        <w:ind w:left="720" w:hanging="436"/>
        <w:rPr>
          <w:rFonts w:ascii="Arial" w:hAnsi="Arial" w:cs="Arial"/>
          <w:sz w:val="22"/>
          <w:szCs w:val="22"/>
        </w:rPr>
      </w:pPr>
      <w:r w:rsidRPr="00EC2D3B">
        <w:rPr>
          <w:rFonts w:ascii="Arial" w:hAnsi="Arial" w:cs="Arial"/>
          <w:sz w:val="22"/>
          <w:szCs w:val="22"/>
        </w:rPr>
        <w:t xml:space="preserve">London Living Wage accreditation is at the heart of the Mayor’s </w:t>
      </w:r>
      <w:r w:rsidRPr="00EC2D3B">
        <w:rPr>
          <w:rFonts w:ascii="Arial" w:hAnsi="Arial" w:cs="Arial"/>
          <w:b/>
          <w:bCs/>
          <w:sz w:val="22"/>
          <w:szCs w:val="22"/>
        </w:rPr>
        <w:t>Good Work Standard</w:t>
      </w:r>
      <w:r w:rsidRPr="00EC2D3B">
        <w:rPr>
          <w:rFonts w:ascii="Arial" w:hAnsi="Arial" w:cs="Arial"/>
          <w:sz w:val="22"/>
          <w:szCs w:val="22"/>
        </w:rPr>
        <w:t xml:space="preserve"> which sets a benchmark for good employment practice. Network member Waltham Forest College recently became the first </w:t>
      </w:r>
      <w:r w:rsidR="00E3757D" w:rsidRPr="00EC2D3B">
        <w:rPr>
          <w:rFonts w:ascii="Arial" w:hAnsi="Arial" w:cs="Arial"/>
          <w:sz w:val="22"/>
          <w:szCs w:val="22"/>
        </w:rPr>
        <w:t xml:space="preserve">further education </w:t>
      </w:r>
      <w:r w:rsidR="00F43540" w:rsidRPr="00EC2D3B">
        <w:rPr>
          <w:rFonts w:ascii="Arial" w:hAnsi="Arial" w:cs="Arial"/>
          <w:sz w:val="22"/>
          <w:szCs w:val="22"/>
        </w:rPr>
        <w:t xml:space="preserve">(FE) </w:t>
      </w:r>
      <w:r w:rsidR="00E3757D" w:rsidRPr="00EC2D3B">
        <w:rPr>
          <w:rFonts w:ascii="Arial" w:hAnsi="Arial" w:cs="Arial"/>
          <w:sz w:val="22"/>
          <w:szCs w:val="22"/>
        </w:rPr>
        <w:t>c</w:t>
      </w:r>
      <w:r w:rsidRPr="00EC2D3B">
        <w:rPr>
          <w:rFonts w:ascii="Arial" w:hAnsi="Arial" w:cs="Arial"/>
          <w:sz w:val="22"/>
          <w:szCs w:val="22"/>
        </w:rPr>
        <w:t xml:space="preserve">ollege in London to be accredited to the Standard setting a terrific precedent for the sector. Several more members of the </w:t>
      </w:r>
      <w:r w:rsidR="00E3757D" w:rsidRPr="00EC2D3B">
        <w:rPr>
          <w:rFonts w:ascii="Arial" w:hAnsi="Arial" w:cs="Arial"/>
          <w:sz w:val="22"/>
          <w:szCs w:val="22"/>
        </w:rPr>
        <w:t>n</w:t>
      </w:r>
      <w:r w:rsidRPr="00EC2D3B">
        <w:rPr>
          <w:rFonts w:ascii="Arial" w:hAnsi="Arial" w:cs="Arial"/>
          <w:sz w:val="22"/>
          <w:szCs w:val="22"/>
        </w:rPr>
        <w:t xml:space="preserve">etwork are </w:t>
      </w:r>
      <w:r w:rsidR="00EC2D3B">
        <w:rPr>
          <w:rFonts w:ascii="Arial" w:hAnsi="Arial" w:cs="Arial"/>
          <w:sz w:val="22"/>
          <w:szCs w:val="22"/>
        </w:rPr>
        <w:t xml:space="preserve">now </w:t>
      </w:r>
      <w:r w:rsidRPr="00EC2D3B">
        <w:rPr>
          <w:rFonts w:ascii="Arial" w:hAnsi="Arial" w:cs="Arial"/>
          <w:sz w:val="22"/>
          <w:szCs w:val="22"/>
        </w:rPr>
        <w:t xml:space="preserve">working to achieve the accreditation, to join </w:t>
      </w:r>
      <w:r w:rsidR="00EC2D3B">
        <w:rPr>
          <w:rFonts w:ascii="Arial" w:hAnsi="Arial" w:cs="Arial"/>
          <w:sz w:val="22"/>
          <w:szCs w:val="22"/>
        </w:rPr>
        <w:t>nine other</w:t>
      </w:r>
      <w:r w:rsidRPr="00EC2D3B">
        <w:rPr>
          <w:rFonts w:ascii="Arial" w:hAnsi="Arial" w:cs="Arial"/>
          <w:sz w:val="22"/>
          <w:szCs w:val="22"/>
        </w:rPr>
        <w:t xml:space="preserve"> members who already hold it</w:t>
      </w:r>
      <w:r w:rsidR="00EC2D3B" w:rsidRPr="00EC2D3B">
        <w:rPr>
          <w:rFonts w:ascii="Arial" w:hAnsi="Arial" w:cs="Arial"/>
          <w:sz w:val="22"/>
          <w:szCs w:val="22"/>
        </w:rPr>
        <w:t xml:space="preserve"> (</w:t>
      </w:r>
      <w:r w:rsidR="00EC2D3B" w:rsidRPr="00EC2D3B">
        <w:rPr>
          <w:rFonts w:ascii="Arial" w:hAnsi="Arial" w:cs="Arial"/>
          <w:sz w:val="22"/>
          <w:szCs w:val="22"/>
        </w:rPr>
        <w:t>Business LDN</w:t>
      </w:r>
      <w:r w:rsidR="00EC2D3B" w:rsidRPr="00EC2D3B">
        <w:rPr>
          <w:rFonts w:ascii="Arial" w:hAnsi="Arial" w:cs="Arial"/>
          <w:sz w:val="22"/>
          <w:szCs w:val="22"/>
        </w:rPr>
        <w:t xml:space="preserve">, </w:t>
      </w:r>
      <w:r w:rsidR="00EC2D3B">
        <w:rPr>
          <w:rFonts w:ascii="Arial" w:hAnsi="Arial" w:cs="Arial"/>
          <w:sz w:val="22"/>
          <w:szCs w:val="22"/>
        </w:rPr>
        <w:t xml:space="preserve">the </w:t>
      </w:r>
      <w:r w:rsidR="00EC2D3B" w:rsidRPr="00EC2D3B">
        <w:rPr>
          <w:rFonts w:ascii="Arial" w:hAnsi="Arial" w:cs="Arial"/>
          <w:sz w:val="22"/>
          <w:szCs w:val="22"/>
        </w:rPr>
        <w:t>Greater London Authority</w:t>
      </w:r>
      <w:r w:rsidR="00EC2D3B" w:rsidRPr="00EC2D3B">
        <w:rPr>
          <w:rFonts w:ascii="Arial" w:hAnsi="Arial" w:cs="Arial"/>
          <w:sz w:val="22"/>
          <w:szCs w:val="22"/>
        </w:rPr>
        <w:t xml:space="preserve">, </w:t>
      </w:r>
      <w:r w:rsidR="00EC2D3B" w:rsidRPr="00EC2D3B">
        <w:rPr>
          <w:rFonts w:ascii="Arial" w:hAnsi="Arial" w:cs="Arial"/>
          <w:sz w:val="22"/>
          <w:szCs w:val="22"/>
        </w:rPr>
        <w:t>London City Airport</w:t>
      </w:r>
      <w:r w:rsidR="00EC2D3B" w:rsidRPr="00EC2D3B">
        <w:rPr>
          <w:rFonts w:ascii="Arial" w:hAnsi="Arial" w:cs="Arial"/>
          <w:sz w:val="22"/>
          <w:szCs w:val="22"/>
        </w:rPr>
        <w:t xml:space="preserve">, </w:t>
      </w:r>
      <w:r w:rsidR="00EC2D3B" w:rsidRPr="00EC2D3B">
        <w:rPr>
          <w:rFonts w:ascii="Arial" w:hAnsi="Arial" w:cs="Arial"/>
          <w:sz w:val="22"/>
          <w:szCs w:val="22"/>
        </w:rPr>
        <w:t>London Fire Brigade</w:t>
      </w:r>
      <w:r w:rsidR="00EC2D3B" w:rsidRPr="00EC2D3B">
        <w:rPr>
          <w:rFonts w:ascii="Arial" w:hAnsi="Arial" w:cs="Arial"/>
          <w:sz w:val="22"/>
          <w:szCs w:val="22"/>
        </w:rPr>
        <w:t xml:space="preserve">, </w:t>
      </w:r>
      <w:r w:rsidR="00EC2D3B">
        <w:rPr>
          <w:rFonts w:ascii="Arial" w:hAnsi="Arial" w:cs="Arial"/>
          <w:sz w:val="22"/>
          <w:szCs w:val="22"/>
        </w:rPr>
        <w:t xml:space="preserve">the </w:t>
      </w:r>
      <w:r w:rsidR="00EC2D3B" w:rsidRPr="00EC2D3B">
        <w:rPr>
          <w:rFonts w:ascii="Arial" w:hAnsi="Arial" w:cs="Arial"/>
          <w:sz w:val="22"/>
          <w:szCs w:val="22"/>
        </w:rPr>
        <w:t xml:space="preserve">Metropolitan Police Service, </w:t>
      </w:r>
      <w:r w:rsidR="00EC2D3B">
        <w:rPr>
          <w:rFonts w:ascii="Arial" w:hAnsi="Arial" w:cs="Arial"/>
          <w:sz w:val="22"/>
          <w:szCs w:val="22"/>
        </w:rPr>
        <w:t xml:space="preserve">Transport for London, </w:t>
      </w:r>
      <w:r w:rsidR="00EC2D3B" w:rsidRPr="00EC2D3B">
        <w:rPr>
          <w:rFonts w:ascii="Arial" w:hAnsi="Arial" w:cs="Arial"/>
          <w:sz w:val="22"/>
          <w:szCs w:val="22"/>
        </w:rPr>
        <w:t xml:space="preserve">the Trades Union Congress, </w:t>
      </w:r>
      <w:r w:rsidR="00EC2D3B">
        <w:rPr>
          <w:rFonts w:ascii="Arial" w:hAnsi="Arial" w:cs="Arial"/>
          <w:sz w:val="22"/>
          <w:szCs w:val="22"/>
        </w:rPr>
        <w:t>the London Borough of</w:t>
      </w:r>
      <w:r w:rsidR="00EC2D3B" w:rsidRPr="00EC2D3B">
        <w:rPr>
          <w:rFonts w:ascii="Arial" w:hAnsi="Arial" w:cs="Arial"/>
          <w:sz w:val="22"/>
          <w:szCs w:val="22"/>
        </w:rPr>
        <w:t xml:space="preserve"> Lambeth</w:t>
      </w:r>
      <w:r w:rsidR="00EC2D3B" w:rsidRPr="00EC2D3B">
        <w:rPr>
          <w:rFonts w:ascii="Arial" w:hAnsi="Arial" w:cs="Arial"/>
          <w:sz w:val="22"/>
          <w:szCs w:val="22"/>
        </w:rPr>
        <w:t xml:space="preserve"> and </w:t>
      </w:r>
      <w:r w:rsidR="00EC2D3B">
        <w:rPr>
          <w:rFonts w:ascii="Arial" w:hAnsi="Arial" w:cs="Arial"/>
          <w:sz w:val="22"/>
          <w:szCs w:val="22"/>
        </w:rPr>
        <w:t>the London Borough of B</w:t>
      </w:r>
      <w:r w:rsidR="00EC2D3B" w:rsidRPr="00EC2D3B">
        <w:rPr>
          <w:rFonts w:ascii="Arial" w:hAnsi="Arial" w:cs="Arial"/>
          <w:sz w:val="22"/>
          <w:szCs w:val="22"/>
        </w:rPr>
        <w:t>arking and Dagenham)</w:t>
      </w:r>
      <w:r w:rsidRPr="00EC2D3B">
        <w:rPr>
          <w:rFonts w:ascii="Arial" w:hAnsi="Arial" w:cs="Arial"/>
          <w:sz w:val="22"/>
          <w:szCs w:val="22"/>
        </w:rPr>
        <w:t>.</w:t>
      </w:r>
    </w:p>
    <w:p w14:paraId="6306F4C4" w14:textId="17B5E5FF" w:rsidR="00A71F74" w:rsidRPr="00027056" w:rsidRDefault="00A71F74" w:rsidP="00027056">
      <w:pPr>
        <w:pStyle w:val="ListParagraph"/>
        <w:ind w:left="0" w:hanging="436"/>
        <w:rPr>
          <w:rFonts w:ascii="Arial" w:hAnsi="Arial" w:cs="Arial"/>
          <w:sz w:val="22"/>
          <w:szCs w:val="22"/>
        </w:rPr>
      </w:pPr>
    </w:p>
    <w:p w14:paraId="1CE90069" w14:textId="165F4109" w:rsidR="00A71F74"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Over the next year, several members have also </w:t>
      </w:r>
      <w:r w:rsidRPr="00EC2D3B">
        <w:rPr>
          <w:rFonts w:ascii="Arial" w:hAnsi="Arial" w:cs="Arial"/>
          <w:b/>
          <w:bCs/>
          <w:sz w:val="22"/>
          <w:szCs w:val="22"/>
        </w:rPr>
        <w:t>committed to publish ethnicity pay gap information for the first time</w:t>
      </w:r>
      <w:r w:rsidRPr="00027056">
        <w:rPr>
          <w:rFonts w:ascii="Arial" w:hAnsi="Arial" w:cs="Arial"/>
          <w:sz w:val="22"/>
          <w:szCs w:val="22"/>
        </w:rPr>
        <w:t xml:space="preserve">, </w:t>
      </w:r>
      <w:r w:rsidRPr="00EC2D3B">
        <w:rPr>
          <w:rFonts w:ascii="Arial" w:hAnsi="Arial" w:cs="Arial"/>
          <w:b/>
          <w:bCs/>
          <w:sz w:val="22"/>
          <w:szCs w:val="22"/>
        </w:rPr>
        <w:t>as well as do more to monitor and close disability pay gaps</w:t>
      </w:r>
      <w:r w:rsidRPr="00027056">
        <w:rPr>
          <w:rFonts w:ascii="Arial" w:hAnsi="Arial" w:cs="Arial"/>
          <w:sz w:val="22"/>
          <w:szCs w:val="22"/>
        </w:rPr>
        <w:t xml:space="preserve">. The hiring and skills working group will be focusing on </w:t>
      </w:r>
      <w:r w:rsidR="009E79E4" w:rsidRPr="00027056">
        <w:rPr>
          <w:rFonts w:ascii="Arial" w:hAnsi="Arial" w:cs="Arial"/>
          <w:sz w:val="22"/>
          <w:szCs w:val="22"/>
        </w:rPr>
        <w:t xml:space="preserve">recruitment and workplace progression for disabled Londoners and those from Black and </w:t>
      </w:r>
      <w:proofErr w:type="spellStart"/>
      <w:r w:rsidR="009E79E4" w:rsidRPr="00027056">
        <w:rPr>
          <w:rFonts w:ascii="Arial" w:hAnsi="Arial" w:cs="Arial"/>
          <w:sz w:val="22"/>
          <w:szCs w:val="22"/>
        </w:rPr>
        <w:t>minoritised</w:t>
      </w:r>
      <w:proofErr w:type="spellEnd"/>
      <w:r w:rsidR="009E79E4" w:rsidRPr="00027056">
        <w:rPr>
          <w:rFonts w:ascii="Arial" w:hAnsi="Arial" w:cs="Arial"/>
          <w:sz w:val="22"/>
          <w:szCs w:val="22"/>
        </w:rPr>
        <w:t xml:space="preserve"> ethnic backgrounds </w:t>
      </w:r>
      <w:r w:rsidRPr="00027056">
        <w:rPr>
          <w:rFonts w:ascii="Arial" w:hAnsi="Arial" w:cs="Arial"/>
          <w:sz w:val="22"/>
          <w:szCs w:val="22"/>
        </w:rPr>
        <w:t xml:space="preserve">in the months to come. </w:t>
      </w:r>
    </w:p>
    <w:p w14:paraId="31C183A1" w14:textId="77777777" w:rsidR="00A71F74" w:rsidRPr="00027056" w:rsidRDefault="00A71F74" w:rsidP="00A71F74">
      <w:pPr>
        <w:pStyle w:val="paragraph"/>
        <w:spacing w:before="0" w:beforeAutospacing="0" w:after="0" w:afterAutospacing="0" w:line="252" w:lineRule="auto"/>
        <w:rPr>
          <w:rFonts w:ascii="Arial" w:hAnsi="Arial" w:cs="Arial"/>
          <w:sz w:val="22"/>
          <w:szCs w:val="22"/>
        </w:rPr>
      </w:pPr>
      <w:r w:rsidRPr="00027056">
        <w:rPr>
          <w:rFonts w:ascii="Arial" w:hAnsi="Arial" w:cs="Arial"/>
          <w:sz w:val="22"/>
          <w:szCs w:val="22"/>
        </w:rPr>
        <w:t> </w:t>
      </w:r>
    </w:p>
    <w:p w14:paraId="67E375E7" w14:textId="4C1AFC0C" w:rsidR="00A71F74" w:rsidRPr="006920EA" w:rsidRDefault="00A71F74" w:rsidP="00A71F74">
      <w:pPr>
        <w:pStyle w:val="paragraph"/>
        <w:spacing w:before="0" w:beforeAutospacing="0" w:after="0" w:afterAutospacing="0" w:line="252" w:lineRule="auto"/>
        <w:rPr>
          <w:rFonts w:ascii="Arial" w:hAnsi="Arial" w:cs="Arial"/>
          <w:b/>
          <w:bCs/>
          <w:sz w:val="22"/>
          <w:szCs w:val="22"/>
        </w:rPr>
      </w:pPr>
      <w:r w:rsidRPr="006920EA">
        <w:rPr>
          <w:rFonts w:ascii="Arial" w:hAnsi="Arial" w:cs="Arial"/>
          <w:b/>
          <w:bCs/>
          <w:sz w:val="22"/>
          <w:szCs w:val="22"/>
        </w:rPr>
        <w:t xml:space="preserve">Procurement </w:t>
      </w:r>
    </w:p>
    <w:p w14:paraId="1C2F0486" w14:textId="77777777" w:rsidR="00A71F74" w:rsidRPr="00027056" w:rsidRDefault="00A71F74" w:rsidP="00A71F74">
      <w:pPr>
        <w:pStyle w:val="paragraph"/>
        <w:spacing w:before="0" w:beforeAutospacing="0" w:after="0" w:afterAutospacing="0" w:line="252" w:lineRule="auto"/>
        <w:rPr>
          <w:rFonts w:ascii="Arial" w:hAnsi="Arial" w:cs="Arial"/>
          <w:sz w:val="22"/>
          <w:szCs w:val="22"/>
        </w:rPr>
      </w:pPr>
      <w:r w:rsidRPr="00027056">
        <w:rPr>
          <w:rFonts w:ascii="Arial" w:hAnsi="Arial" w:cs="Arial"/>
          <w:sz w:val="22"/>
          <w:szCs w:val="22"/>
        </w:rPr>
        <w:t> </w:t>
      </w:r>
    </w:p>
    <w:p w14:paraId="52CD47D8" w14:textId="7E3DBA38" w:rsidR="00A71F74"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On the procurement </w:t>
      </w:r>
      <w:r w:rsidR="00CB1E38">
        <w:rPr>
          <w:rFonts w:ascii="Arial" w:hAnsi="Arial" w:cs="Arial"/>
          <w:sz w:val="22"/>
          <w:szCs w:val="22"/>
        </w:rPr>
        <w:t>workstream</w:t>
      </w:r>
      <w:r w:rsidRPr="00027056">
        <w:rPr>
          <w:rFonts w:ascii="Arial" w:hAnsi="Arial" w:cs="Arial"/>
          <w:sz w:val="22"/>
          <w:szCs w:val="22"/>
        </w:rPr>
        <w:t xml:space="preserve">, members have been </w:t>
      </w:r>
      <w:r w:rsidR="00CB1E38">
        <w:rPr>
          <w:rFonts w:ascii="Arial" w:hAnsi="Arial" w:cs="Arial"/>
          <w:sz w:val="22"/>
          <w:szCs w:val="22"/>
        </w:rPr>
        <w:t xml:space="preserve">focused on </w:t>
      </w:r>
      <w:r w:rsidRPr="00027056">
        <w:rPr>
          <w:rFonts w:ascii="Arial" w:hAnsi="Arial" w:cs="Arial"/>
          <w:sz w:val="22"/>
          <w:szCs w:val="22"/>
        </w:rPr>
        <w:t>buy</w:t>
      </w:r>
      <w:r w:rsidR="00CB1E38">
        <w:rPr>
          <w:rFonts w:ascii="Arial" w:hAnsi="Arial" w:cs="Arial"/>
          <w:sz w:val="22"/>
          <w:szCs w:val="22"/>
        </w:rPr>
        <w:t>ing</w:t>
      </w:r>
      <w:r w:rsidRPr="00027056">
        <w:rPr>
          <w:rFonts w:ascii="Arial" w:hAnsi="Arial" w:cs="Arial"/>
          <w:sz w:val="22"/>
          <w:szCs w:val="22"/>
        </w:rPr>
        <w:t xml:space="preserve"> a greater proportion of their goods and services from small and diverse businesses, supporting local, inclusive economic growth. Some</w:t>
      </w:r>
      <w:r w:rsidR="00652D30" w:rsidRPr="00027056">
        <w:rPr>
          <w:rFonts w:ascii="Arial" w:hAnsi="Arial" w:cs="Arial"/>
          <w:sz w:val="22"/>
          <w:szCs w:val="22"/>
        </w:rPr>
        <w:t>, such as the Metropolitan Police Service</w:t>
      </w:r>
      <w:r w:rsidR="001143E3">
        <w:rPr>
          <w:rFonts w:ascii="Arial" w:hAnsi="Arial" w:cs="Arial"/>
          <w:sz w:val="22"/>
          <w:szCs w:val="22"/>
        </w:rPr>
        <w:t xml:space="preserve"> (MPS)</w:t>
      </w:r>
      <w:r w:rsidR="00652D30" w:rsidRPr="00027056">
        <w:rPr>
          <w:rFonts w:ascii="Arial" w:hAnsi="Arial" w:cs="Arial"/>
          <w:sz w:val="22"/>
          <w:szCs w:val="22"/>
        </w:rPr>
        <w:t>,</w:t>
      </w:r>
      <w:r w:rsidRPr="00027056">
        <w:rPr>
          <w:rFonts w:ascii="Arial" w:hAnsi="Arial" w:cs="Arial"/>
          <w:sz w:val="22"/>
          <w:szCs w:val="22"/>
        </w:rPr>
        <w:t xml:space="preserve"> are already ahead of their </w:t>
      </w:r>
      <w:r w:rsidR="00F43540">
        <w:rPr>
          <w:rFonts w:ascii="Arial" w:hAnsi="Arial" w:cs="Arial"/>
          <w:sz w:val="22"/>
          <w:szCs w:val="22"/>
        </w:rPr>
        <w:t xml:space="preserve">spend </w:t>
      </w:r>
      <w:r w:rsidRPr="00027056">
        <w:rPr>
          <w:rFonts w:ascii="Arial" w:hAnsi="Arial" w:cs="Arial"/>
          <w:sz w:val="22"/>
          <w:szCs w:val="22"/>
        </w:rPr>
        <w:t>targets</w:t>
      </w:r>
      <w:r w:rsidR="00F43540">
        <w:rPr>
          <w:rFonts w:ascii="Arial" w:hAnsi="Arial" w:cs="Arial"/>
          <w:sz w:val="22"/>
          <w:szCs w:val="22"/>
        </w:rPr>
        <w:t xml:space="preserve"> with SMEs</w:t>
      </w:r>
      <w:r w:rsidRPr="00027056">
        <w:rPr>
          <w:rFonts w:ascii="Arial" w:hAnsi="Arial" w:cs="Arial"/>
          <w:sz w:val="22"/>
          <w:szCs w:val="22"/>
        </w:rPr>
        <w:t xml:space="preserve"> for this yea</w:t>
      </w:r>
      <w:r w:rsidR="00652D30" w:rsidRPr="00027056">
        <w:rPr>
          <w:rFonts w:ascii="Arial" w:hAnsi="Arial" w:cs="Arial"/>
          <w:sz w:val="22"/>
          <w:szCs w:val="22"/>
        </w:rPr>
        <w:t xml:space="preserve">r. Whilst many members are working through challenges with data reporting, the data that we have </w:t>
      </w:r>
      <w:r w:rsidR="00816494" w:rsidRPr="00027056">
        <w:rPr>
          <w:rFonts w:ascii="Arial" w:hAnsi="Arial" w:cs="Arial"/>
          <w:sz w:val="22"/>
          <w:szCs w:val="22"/>
        </w:rPr>
        <w:t xml:space="preserve">seen indicate </w:t>
      </w:r>
      <w:r w:rsidR="00816494" w:rsidRPr="00995C8E">
        <w:rPr>
          <w:rFonts w:ascii="Arial" w:hAnsi="Arial" w:cs="Arial"/>
          <w:b/>
          <w:bCs/>
          <w:sz w:val="22"/>
          <w:szCs w:val="22"/>
        </w:rPr>
        <w:t>more than £750m spent with small</w:t>
      </w:r>
      <w:r w:rsidR="00635251" w:rsidRPr="00995C8E">
        <w:rPr>
          <w:rFonts w:ascii="Arial" w:hAnsi="Arial" w:cs="Arial"/>
          <w:b/>
          <w:bCs/>
          <w:sz w:val="22"/>
          <w:szCs w:val="22"/>
        </w:rPr>
        <w:t xml:space="preserve">, </w:t>
      </w:r>
      <w:r w:rsidR="00816494" w:rsidRPr="00995C8E">
        <w:rPr>
          <w:rFonts w:ascii="Arial" w:hAnsi="Arial" w:cs="Arial"/>
          <w:b/>
          <w:bCs/>
          <w:sz w:val="22"/>
          <w:szCs w:val="22"/>
        </w:rPr>
        <w:t>medium-</w:t>
      </w:r>
      <w:proofErr w:type="gramStart"/>
      <w:r w:rsidR="00816494" w:rsidRPr="00995C8E">
        <w:rPr>
          <w:rFonts w:ascii="Arial" w:hAnsi="Arial" w:cs="Arial"/>
          <w:b/>
          <w:bCs/>
          <w:sz w:val="22"/>
          <w:szCs w:val="22"/>
        </w:rPr>
        <w:t>sized</w:t>
      </w:r>
      <w:proofErr w:type="gramEnd"/>
      <w:r w:rsidR="00816494" w:rsidRPr="00995C8E">
        <w:rPr>
          <w:rFonts w:ascii="Arial" w:hAnsi="Arial" w:cs="Arial"/>
          <w:b/>
          <w:bCs/>
          <w:sz w:val="22"/>
          <w:szCs w:val="22"/>
        </w:rPr>
        <w:t xml:space="preserve"> and diverse-owned businesses over the past year</w:t>
      </w:r>
      <w:r w:rsidR="00816494" w:rsidRPr="00027056">
        <w:rPr>
          <w:rFonts w:ascii="Arial" w:hAnsi="Arial" w:cs="Arial"/>
          <w:sz w:val="22"/>
          <w:szCs w:val="22"/>
        </w:rPr>
        <w:t xml:space="preserve">, with indirect spend figures much higher than that. </w:t>
      </w:r>
    </w:p>
    <w:p w14:paraId="284A0808" w14:textId="28A9FF65" w:rsidR="00A71F74" w:rsidRPr="00027056" w:rsidRDefault="00A71F74" w:rsidP="00027056">
      <w:pPr>
        <w:pStyle w:val="paragraph"/>
        <w:spacing w:before="0" w:beforeAutospacing="0" w:after="0" w:afterAutospacing="0" w:line="252" w:lineRule="auto"/>
        <w:ind w:left="720"/>
        <w:rPr>
          <w:rFonts w:ascii="Arial" w:hAnsi="Arial" w:cs="Arial"/>
          <w:sz w:val="22"/>
          <w:szCs w:val="22"/>
        </w:rPr>
      </w:pPr>
    </w:p>
    <w:p w14:paraId="3B22D739" w14:textId="38FC4563" w:rsidR="00A71F74"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To achieve this, </w:t>
      </w:r>
      <w:r w:rsidR="00816494" w:rsidRPr="00027056">
        <w:rPr>
          <w:rFonts w:ascii="Arial" w:hAnsi="Arial" w:cs="Arial"/>
          <w:sz w:val="22"/>
          <w:szCs w:val="22"/>
        </w:rPr>
        <w:t>members have</w:t>
      </w:r>
      <w:r w:rsidRPr="00027056">
        <w:rPr>
          <w:rFonts w:ascii="Arial" w:hAnsi="Arial" w:cs="Arial"/>
          <w:sz w:val="22"/>
          <w:szCs w:val="22"/>
        </w:rPr>
        <w:t xml:space="preserve"> been working collaboratively to </w:t>
      </w:r>
      <w:r w:rsidR="00635251" w:rsidRPr="00027056">
        <w:rPr>
          <w:rFonts w:ascii="Arial" w:hAnsi="Arial" w:cs="Arial"/>
          <w:sz w:val="22"/>
          <w:szCs w:val="22"/>
        </w:rPr>
        <w:t xml:space="preserve">review and </w:t>
      </w:r>
      <w:r w:rsidRPr="00027056">
        <w:rPr>
          <w:rFonts w:ascii="Arial" w:hAnsi="Arial" w:cs="Arial"/>
          <w:sz w:val="22"/>
          <w:szCs w:val="22"/>
        </w:rPr>
        <w:t xml:space="preserve">make changes to their procurement </w:t>
      </w:r>
      <w:r w:rsidR="00635251" w:rsidRPr="00027056">
        <w:rPr>
          <w:rFonts w:ascii="Arial" w:hAnsi="Arial" w:cs="Arial"/>
          <w:sz w:val="22"/>
          <w:szCs w:val="22"/>
        </w:rPr>
        <w:t xml:space="preserve">policies and </w:t>
      </w:r>
      <w:r w:rsidRPr="00027056">
        <w:rPr>
          <w:rFonts w:ascii="Arial" w:hAnsi="Arial" w:cs="Arial"/>
          <w:sz w:val="22"/>
          <w:szCs w:val="22"/>
        </w:rPr>
        <w:t xml:space="preserve">processes, as well as putting </w:t>
      </w:r>
      <w:r w:rsidR="00635251" w:rsidRPr="00027056">
        <w:rPr>
          <w:rFonts w:ascii="Arial" w:hAnsi="Arial" w:cs="Arial"/>
          <w:sz w:val="22"/>
          <w:szCs w:val="22"/>
        </w:rPr>
        <w:t xml:space="preserve">significant </w:t>
      </w:r>
      <w:r w:rsidRPr="00027056">
        <w:rPr>
          <w:rFonts w:ascii="Arial" w:hAnsi="Arial" w:cs="Arial"/>
          <w:sz w:val="22"/>
          <w:szCs w:val="22"/>
        </w:rPr>
        <w:t xml:space="preserve">new systems in place to capture more granular information about their supply base. </w:t>
      </w:r>
      <w:r w:rsidR="00816494" w:rsidRPr="00027056">
        <w:rPr>
          <w:rFonts w:ascii="Arial" w:hAnsi="Arial" w:cs="Arial"/>
          <w:sz w:val="22"/>
          <w:szCs w:val="22"/>
        </w:rPr>
        <w:t xml:space="preserve">They have trialled new approaches, including </w:t>
      </w:r>
      <w:r w:rsidR="00816494" w:rsidRPr="00995C8E">
        <w:rPr>
          <w:rFonts w:ascii="Arial" w:hAnsi="Arial" w:cs="Arial"/>
          <w:b/>
          <w:bCs/>
          <w:sz w:val="22"/>
          <w:szCs w:val="22"/>
        </w:rPr>
        <w:t>piloting reserved contracts for SMEs</w:t>
      </w:r>
      <w:r w:rsidR="00816494" w:rsidRPr="00027056">
        <w:rPr>
          <w:rFonts w:ascii="Arial" w:hAnsi="Arial" w:cs="Arial"/>
          <w:sz w:val="22"/>
          <w:szCs w:val="22"/>
        </w:rPr>
        <w:t>, with the GLA Group collectively reserving in the region of £718m worth of contracts</w:t>
      </w:r>
      <w:r w:rsidR="00635251" w:rsidRPr="00027056">
        <w:rPr>
          <w:rFonts w:ascii="Arial" w:hAnsi="Arial" w:cs="Arial"/>
          <w:sz w:val="22"/>
          <w:szCs w:val="22"/>
        </w:rPr>
        <w:t xml:space="preserve"> in the last financial year</w:t>
      </w:r>
      <w:r w:rsidR="00816494" w:rsidRPr="00027056">
        <w:rPr>
          <w:rFonts w:ascii="Arial" w:hAnsi="Arial" w:cs="Arial"/>
          <w:sz w:val="22"/>
          <w:szCs w:val="22"/>
        </w:rPr>
        <w:t xml:space="preserve">. </w:t>
      </w:r>
    </w:p>
    <w:p w14:paraId="42A78803" w14:textId="65DAE3AC" w:rsidR="00A71F74" w:rsidRPr="00027056" w:rsidRDefault="00A71F74" w:rsidP="00027056">
      <w:pPr>
        <w:pStyle w:val="paragraph"/>
        <w:spacing w:before="0" w:beforeAutospacing="0" w:after="0" w:afterAutospacing="0" w:line="252" w:lineRule="auto"/>
        <w:ind w:left="720"/>
        <w:rPr>
          <w:rFonts w:ascii="Arial" w:hAnsi="Arial" w:cs="Arial"/>
          <w:sz w:val="22"/>
          <w:szCs w:val="22"/>
        </w:rPr>
      </w:pPr>
    </w:p>
    <w:p w14:paraId="3019C0EB" w14:textId="4C493C4C" w:rsidR="00A71F74" w:rsidRPr="00027056" w:rsidRDefault="00635251"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995C8E">
        <w:rPr>
          <w:rFonts w:ascii="Arial" w:hAnsi="Arial" w:cs="Arial"/>
          <w:b/>
          <w:bCs/>
          <w:sz w:val="22"/>
          <w:szCs w:val="22"/>
        </w:rPr>
        <w:t>Supplier diversity</w:t>
      </w:r>
      <w:r w:rsidRPr="00027056">
        <w:rPr>
          <w:rFonts w:ascii="Arial" w:hAnsi="Arial" w:cs="Arial"/>
          <w:sz w:val="22"/>
          <w:szCs w:val="22"/>
        </w:rPr>
        <w:t xml:space="preserve"> is a big focus, with specific efforts being made to reach more diverse-owned businesses (</w:t>
      </w:r>
      <w:proofErr w:type="gramStart"/>
      <w:r w:rsidRPr="00027056">
        <w:rPr>
          <w:rFonts w:ascii="Arial" w:hAnsi="Arial" w:cs="Arial"/>
          <w:sz w:val="22"/>
          <w:szCs w:val="22"/>
        </w:rPr>
        <w:t>i.e.</w:t>
      </w:r>
      <w:proofErr w:type="gramEnd"/>
      <w:r w:rsidRPr="00027056">
        <w:rPr>
          <w:rFonts w:ascii="Arial" w:hAnsi="Arial" w:cs="Arial"/>
          <w:sz w:val="22"/>
          <w:szCs w:val="22"/>
        </w:rPr>
        <w:t xml:space="preserve"> with a majority ownership or senior management team comprising individuals from Black, Asian and minority ethnic groups, women, disabled people or LGBTQ+). </w:t>
      </w:r>
      <w:r w:rsidR="00A71F74" w:rsidRPr="00027056">
        <w:rPr>
          <w:rFonts w:ascii="Arial" w:hAnsi="Arial" w:cs="Arial"/>
          <w:sz w:val="22"/>
          <w:szCs w:val="22"/>
        </w:rPr>
        <w:t>The Metropolitan Police Service has become one of the first public sector bodies to work with Minority Supplier Development UK, to identify and support diverse businesses to access its supply chain. It aims to direct 20% - double its current target - of total spend to this sector by the 2024/25 financial year. </w:t>
      </w:r>
    </w:p>
    <w:p w14:paraId="670ACB70" w14:textId="608EEB04" w:rsidR="00A71F74" w:rsidRPr="00027056" w:rsidRDefault="00A71F74" w:rsidP="00027056">
      <w:pPr>
        <w:pStyle w:val="paragraph"/>
        <w:spacing w:before="0" w:beforeAutospacing="0" w:after="0" w:afterAutospacing="0" w:line="252" w:lineRule="auto"/>
        <w:ind w:left="720"/>
        <w:rPr>
          <w:rFonts w:ascii="Arial" w:hAnsi="Arial" w:cs="Arial"/>
          <w:sz w:val="22"/>
          <w:szCs w:val="22"/>
        </w:rPr>
      </w:pPr>
    </w:p>
    <w:p w14:paraId="75105E16" w14:textId="69D44093" w:rsidR="00635251"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lastRenderedPageBreak/>
        <w:t xml:space="preserve">Members of the </w:t>
      </w:r>
      <w:r w:rsidR="00635251" w:rsidRPr="00027056">
        <w:rPr>
          <w:rFonts w:ascii="Arial" w:hAnsi="Arial" w:cs="Arial"/>
          <w:sz w:val="22"/>
          <w:szCs w:val="22"/>
        </w:rPr>
        <w:t>n</w:t>
      </w:r>
      <w:r w:rsidRPr="00027056">
        <w:rPr>
          <w:rFonts w:ascii="Arial" w:hAnsi="Arial" w:cs="Arial"/>
          <w:sz w:val="22"/>
          <w:szCs w:val="22"/>
        </w:rPr>
        <w:t>etwork are also working with partners at the G</w:t>
      </w:r>
      <w:r w:rsidR="00F43540">
        <w:rPr>
          <w:rFonts w:ascii="Arial" w:hAnsi="Arial" w:cs="Arial"/>
          <w:sz w:val="22"/>
          <w:szCs w:val="22"/>
        </w:rPr>
        <w:t xml:space="preserve">reater </w:t>
      </w:r>
      <w:r w:rsidRPr="00027056">
        <w:rPr>
          <w:rFonts w:ascii="Arial" w:hAnsi="Arial" w:cs="Arial"/>
          <w:sz w:val="22"/>
          <w:szCs w:val="22"/>
        </w:rPr>
        <w:t>L</w:t>
      </w:r>
      <w:r w:rsidR="00F43540">
        <w:rPr>
          <w:rFonts w:ascii="Arial" w:hAnsi="Arial" w:cs="Arial"/>
          <w:sz w:val="22"/>
          <w:szCs w:val="22"/>
        </w:rPr>
        <w:t xml:space="preserve">ondon </w:t>
      </w:r>
      <w:r w:rsidRPr="00027056">
        <w:rPr>
          <w:rFonts w:ascii="Arial" w:hAnsi="Arial" w:cs="Arial"/>
          <w:sz w:val="22"/>
          <w:szCs w:val="22"/>
        </w:rPr>
        <w:t>A</w:t>
      </w:r>
      <w:r w:rsidR="00F43540">
        <w:rPr>
          <w:rFonts w:ascii="Arial" w:hAnsi="Arial" w:cs="Arial"/>
          <w:sz w:val="22"/>
          <w:szCs w:val="22"/>
        </w:rPr>
        <w:t>uthority (GLA)</w:t>
      </w:r>
      <w:r w:rsidRPr="00027056">
        <w:rPr>
          <w:rFonts w:ascii="Arial" w:hAnsi="Arial" w:cs="Arial"/>
          <w:sz w:val="22"/>
          <w:szCs w:val="22"/>
        </w:rPr>
        <w:t xml:space="preserve">, London Chamber of Commerce and Industry and Federation of Small Businesses, to </w:t>
      </w:r>
      <w:r w:rsidRPr="00995C8E">
        <w:rPr>
          <w:rFonts w:ascii="Arial" w:hAnsi="Arial" w:cs="Arial"/>
          <w:b/>
          <w:bCs/>
          <w:sz w:val="22"/>
          <w:szCs w:val="22"/>
        </w:rPr>
        <w:t>support more small businesses to become supplier ready</w:t>
      </w:r>
      <w:r w:rsidRPr="00027056">
        <w:rPr>
          <w:rFonts w:ascii="Arial" w:hAnsi="Arial" w:cs="Arial"/>
          <w:sz w:val="22"/>
          <w:szCs w:val="22"/>
        </w:rPr>
        <w:t xml:space="preserve">. </w:t>
      </w:r>
      <w:r w:rsidR="00995C8E">
        <w:rPr>
          <w:rFonts w:ascii="Arial" w:hAnsi="Arial" w:cs="Arial"/>
          <w:sz w:val="22"/>
          <w:szCs w:val="22"/>
        </w:rPr>
        <w:t xml:space="preserve">Last autumn </w:t>
      </w:r>
      <w:r w:rsidRPr="00027056">
        <w:rPr>
          <w:rFonts w:ascii="Arial" w:hAnsi="Arial" w:cs="Arial"/>
          <w:sz w:val="22"/>
          <w:szCs w:val="22"/>
        </w:rPr>
        <w:t xml:space="preserve">the NHS, London Fire Brigade, GLA, </w:t>
      </w:r>
      <w:r w:rsidR="00F43540">
        <w:rPr>
          <w:rFonts w:ascii="Arial" w:hAnsi="Arial" w:cs="Arial"/>
          <w:sz w:val="22"/>
          <w:szCs w:val="22"/>
        </w:rPr>
        <w:t>MPS</w:t>
      </w:r>
      <w:r w:rsidRPr="00027056">
        <w:rPr>
          <w:rFonts w:ascii="Arial" w:hAnsi="Arial" w:cs="Arial"/>
          <w:sz w:val="22"/>
          <w:szCs w:val="22"/>
        </w:rPr>
        <w:t xml:space="preserve"> and T</w:t>
      </w:r>
      <w:r w:rsidR="00F43540">
        <w:rPr>
          <w:rFonts w:ascii="Arial" w:hAnsi="Arial" w:cs="Arial"/>
          <w:sz w:val="22"/>
          <w:szCs w:val="22"/>
        </w:rPr>
        <w:t>ransport for London (TfL)</w:t>
      </w:r>
      <w:r w:rsidRPr="00027056">
        <w:rPr>
          <w:rFonts w:ascii="Arial" w:hAnsi="Arial" w:cs="Arial"/>
          <w:sz w:val="22"/>
          <w:szCs w:val="22"/>
        </w:rPr>
        <w:t xml:space="preserve"> </w:t>
      </w:r>
      <w:r w:rsidR="00995C8E">
        <w:rPr>
          <w:rFonts w:ascii="Arial" w:hAnsi="Arial" w:cs="Arial"/>
          <w:sz w:val="22"/>
          <w:szCs w:val="22"/>
        </w:rPr>
        <w:t xml:space="preserve">ran a joint webinar </w:t>
      </w:r>
      <w:r w:rsidRPr="00027056">
        <w:rPr>
          <w:rFonts w:ascii="Arial" w:hAnsi="Arial" w:cs="Arial"/>
          <w:sz w:val="22"/>
          <w:szCs w:val="22"/>
        </w:rPr>
        <w:t>to help London-based small businesses learn how to access their contracts. </w:t>
      </w:r>
      <w:r w:rsidR="00816494" w:rsidRPr="00027056">
        <w:rPr>
          <w:rFonts w:ascii="Arial" w:hAnsi="Arial" w:cs="Arial"/>
          <w:sz w:val="22"/>
          <w:szCs w:val="22"/>
        </w:rPr>
        <w:t xml:space="preserve">Over 80 London SMEs attended the event, and 62 benefitted from a supplier readiness programme procured by the GLA. </w:t>
      </w:r>
    </w:p>
    <w:p w14:paraId="0FF65C9E" w14:textId="77777777" w:rsidR="00635251" w:rsidRPr="00027056" w:rsidRDefault="00635251" w:rsidP="00027056">
      <w:pPr>
        <w:pStyle w:val="paragraph"/>
        <w:spacing w:before="0" w:beforeAutospacing="0" w:after="0" w:afterAutospacing="0" w:line="252" w:lineRule="auto"/>
        <w:ind w:left="720"/>
        <w:rPr>
          <w:rFonts w:ascii="Arial" w:hAnsi="Arial" w:cs="Arial"/>
          <w:sz w:val="22"/>
          <w:szCs w:val="22"/>
        </w:rPr>
      </w:pPr>
    </w:p>
    <w:p w14:paraId="6082F1AF" w14:textId="53E393A1" w:rsidR="00027056" w:rsidRPr="00027056" w:rsidRDefault="00635251"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The working group’s forward plan (some of which is already underway) includes </w:t>
      </w:r>
      <w:r w:rsidR="00027056" w:rsidRPr="00027056">
        <w:rPr>
          <w:rFonts w:ascii="Arial" w:hAnsi="Arial" w:cs="Arial"/>
          <w:sz w:val="22"/>
          <w:szCs w:val="22"/>
        </w:rPr>
        <w:t>piloting a small and diverse business database to support contract reserving and market engagement, rolling out e-training for procurement officers to help prioritise procurement from s</w:t>
      </w:r>
      <w:r w:rsidRPr="00027056">
        <w:rPr>
          <w:rFonts w:ascii="Arial" w:hAnsi="Arial" w:cs="Arial"/>
          <w:sz w:val="22"/>
          <w:szCs w:val="22"/>
        </w:rPr>
        <w:t xml:space="preserve">mall </w:t>
      </w:r>
      <w:r w:rsidR="00027056" w:rsidRPr="00027056">
        <w:rPr>
          <w:rFonts w:ascii="Arial" w:hAnsi="Arial" w:cs="Arial"/>
          <w:sz w:val="22"/>
          <w:szCs w:val="22"/>
        </w:rPr>
        <w:t>and</w:t>
      </w:r>
      <w:r w:rsidRPr="00027056">
        <w:rPr>
          <w:rFonts w:ascii="Arial" w:hAnsi="Arial" w:cs="Arial"/>
          <w:sz w:val="22"/>
          <w:szCs w:val="22"/>
        </w:rPr>
        <w:t xml:space="preserve"> diverse business</w:t>
      </w:r>
      <w:r w:rsidR="00027056" w:rsidRPr="00027056">
        <w:rPr>
          <w:rFonts w:ascii="Arial" w:hAnsi="Arial" w:cs="Arial"/>
          <w:sz w:val="22"/>
          <w:szCs w:val="22"/>
        </w:rPr>
        <w:t xml:space="preserve">es, a joint market engagement event in June, and more work to revise members’ procurement guidance and processes. </w:t>
      </w:r>
    </w:p>
    <w:p w14:paraId="4663620B" w14:textId="77777777" w:rsidR="00A71F74" w:rsidRPr="00027056" w:rsidRDefault="00A71F74" w:rsidP="00A71F74">
      <w:pPr>
        <w:pStyle w:val="paragraph"/>
        <w:spacing w:before="0" w:beforeAutospacing="0" w:after="0" w:afterAutospacing="0"/>
        <w:textAlignment w:val="baseline"/>
        <w:rPr>
          <w:rFonts w:ascii="Arial" w:hAnsi="Arial" w:cs="Arial"/>
          <w:sz w:val="22"/>
          <w:szCs w:val="22"/>
        </w:rPr>
      </w:pPr>
      <w:r w:rsidRPr="00027056">
        <w:rPr>
          <w:rStyle w:val="eop"/>
          <w:rFonts w:ascii="Arial" w:hAnsi="Arial" w:cs="Arial"/>
          <w:color w:val="000000"/>
          <w:sz w:val="22"/>
          <w:szCs w:val="22"/>
          <w:shd w:val="clear" w:color="auto" w:fill="FFFFFF"/>
        </w:rPr>
        <w:t> </w:t>
      </w:r>
    </w:p>
    <w:p w14:paraId="6DB50E5E" w14:textId="77777777" w:rsidR="00A71F74" w:rsidRPr="006920EA" w:rsidRDefault="00A71F74" w:rsidP="00A71F74">
      <w:pPr>
        <w:pStyle w:val="paragraph"/>
        <w:spacing w:before="0" w:beforeAutospacing="0" w:after="0" w:afterAutospacing="0"/>
        <w:textAlignment w:val="baseline"/>
        <w:rPr>
          <w:rFonts w:ascii="Arial" w:hAnsi="Arial" w:cs="Arial"/>
          <w:b/>
          <w:bCs/>
          <w:sz w:val="22"/>
          <w:szCs w:val="22"/>
        </w:rPr>
      </w:pPr>
      <w:r w:rsidRPr="006920EA">
        <w:rPr>
          <w:rStyle w:val="eop"/>
          <w:rFonts w:ascii="Arial" w:hAnsi="Arial" w:cs="Arial"/>
          <w:b/>
          <w:bCs/>
          <w:color w:val="000000"/>
          <w:sz w:val="22"/>
          <w:szCs w:val="22"/>
          <w:shd w:val="clear" w:color="auto" w:fill="FFFFFF"/>
        </w:rPr>
        <w:t xml:space="preserve">Mentoring </w:t>
      </w:r>
    </w:p>
    <w:p w14:paraId="55F52C33" w14:textId="77777777" w:rsidR="00A71F74" w:rsidRPr="00027056" w:rsidRDefault="00A71F74" w:rsidP="00A71F74">
      <w:pPr>
        <w:pStyle w:val="paragraph"/>
        <w:spacing w:before="0" w:beforeAutospacing="0" w:after="0" w:afterAutospacing="0"/>
        <w:textAlignment w:val="baseline"/>
        <w:rPr>
          <w:rFonts w:ascii="Arial" w:hAnsi="Arial" w:cs="Arial"/>
          <w:sz w:val="22"/>
          <w:szCs w:val="22"/>
        </w:rPr>
      </w:pPr>
      <w:r w:rsidRPr="00027056">
        <w:rPr>
          <w:rStyle w:val="eop"/>
          <w:rFonts w:ascii="Arial" w:hAnsi="Arial" w:cs="Arial"/>
          <w:color w:val="000000"/>
          <w:sz w:val="22"/>
          <w:szCs w:val="22"/>
          <w:shd w:val="clear" w:color="auto" w:fill="FFFFFF"/>
        </w:rPr>
        <w:t> </w:t>
      </w:r>
    </w:p>
    <w:p w14:paraId="291ADB1E" w14:textId="5D6ADD05" w:rsidR="00997498"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bookmarkStart w:id="0" w:name="_Hlk127347375"/>
      <w:r w:rsidRPr="00027056">
        <w:rPr>
          <w:rFonts w:ascii="Arial" w:hAnsi="Arial" w:cs="Arial"/>
          <w:sz w:val="22"/>
          <w:szCs w:val="22"/>
        </w:rPr>
        <w:t xml:space="preserve">Through the Mentoring Young People working group, members have committed to </w:t>
      </w:r>
      <w:r w:rsidR="00997498" w:rsidRPr="00027056">
        <w:rPr>
          <w:rFonts w:ascii="Arial" w:hAnsi="Arial" w:cs="Arial"/>
          <w:sz w:val="22"/>
          <w:szCs w:val="22"/>
        </w:rPr>
        <w:t>work in partnership with the voluntary and community sector and youth support organisations to improve life chances for young people by matching them to trained mentors.</w:t>
      </w:r>
    </w:p>
    <w:p w14:paraId="67ADF649" w14:textId="77777777" w:rsidR="00997498" w:rsidRPr="00027056" w:rsidRDefault="00997498" w:rsidP="00027056">
      <w:pPr>
        <w:pStyle w:val="paragraph"/>
        <w:spacing w:before="0" w:beforeAutospacing="0" w:after="0" w:afterAutospacing="0" w:line="252" w:lineRule="auto"/>
        <w:ind w:left="720"/>
        <w:rPr>
          <w:rFonts w:ascii="Arial" w:hAnsi="Arial" w:cs="Arial"/>
          <w:sz w:val="22"/>
          <w:szCs w:val="22"/>
        </w:rPr>
      </w:pPr>
    </w:p>
    <w:p w14:paraId="3C7932D8" w14:textId="49BAB7D1" w:rsidR="00A71F74"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This includes </w:t>
      </w:r>
      <w:r w:rsidR="00997498" w:rsidRPr="00027056">
        <w:rPr>
          <w:rFonts w:ascii="Arial" w:hAnsi="Arial" w:cs="Arial"/>
          <w:sz w:val="22"/>
          <w:szCs w:val="22"/>
        </w:rPr>
        <w:t xml:space="preserve">supporting </w:t>
      </w:r>
      <w:r w:rsidRPr="00027056">
        <w:rPr>
          <w:rFonts w:ascii="Arial" w:hAnsi="Arial" w:cs="Arial"/>
          <w:sz w:val="22"/>
          <w:szCs w:val="22"/>
        </w:rPr>
        <w:t xml:space="preserve">the London Recovery Programme’s New Deal for Young People Mission to ensure that 100,000 disadvantaged young Londoners have access to high quality mentoring by 2024. </w:t>
      </w:r>
    </w:p>
    <w:p w14:paraId="36C58F1D" w14:textId="77777777" w:rsidR="00997498" w:rsidRPr="00027056" w:rsidRDefault="00997498" w:rsidP="00027056">
      <w:pPr>
        <w:pStyle w:val="paragraph"/>
        <w:spacing w:before="0" w:beforeAutospacing="0" w:after="0" w:afterAutospacing="0" w:line="252" w:lineRule="auto"/>
        <w:ind w:left="720"/>
        <w:rPr>
          <w:rFonts w:ascii="Arial" w:hAnsi="Arial" w:cs="Arial"/>
          <w:sz w:val="22"/>
          <w:szCs w:val="22"/>
        </w:rPr>
      </w:pPr>
    </w:p>
    <w:p w14:paraId="03607C5A" w14:textId="094853DA" w:rsidR="00997498" w:rsidRPr="00027056" w:rsidRDefault="00997498"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The group also aims to promote quality mentoring for young people more broadly across London.</w:t>
      </w:r>
    </w:p>
    <w:p w14:paraId="10A05BA4" w14:textId="2B4029D7" w:rsidR="00A71F74" w:rsidRPr="00027056" w:rsidRDefault="00A71F74" w:rsidP="00027056">
      <w:pPr>
        <w:pStyle w:val="paragraph"/>
        <w:spacing w:before="0" w:beforeAutospacing="0" w:after="0" w:afterAutospacing="0" w:line="252" w:lineRule="auto"/>
        <w:ind w:left="720"/>
        <w:rPr>
          <w:rFonts w:ascii="Arial" w:hAnsi="Arial" w:cs="Arial"/>
          <w:sz w:val="22"/>
          <w:szCs w:val="22"/>
        </w:rPr>
      </w:pPr>
    </w:p>
    <w:p w14:paraId="72E86DE1" w14:textId="7EB2EEA0" w:rsidR="00A71F74" w:rsidRPr="00027056" w:rsidRDefault="00997498"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In line with this, </w:t>
      </w:r>
      <w:r w:rsidR="00A71F74" w:rsidRPr="00027056">
        <w:rPr>
          <w:rFonts w:ascii="Arial" w:hAnsi="Arial" w:cs="Arial"/>
          <w:sz w:val="22"/>
          <w:szCs w:val="22"/>
        </w:rPr>
        <w:t xml:space="preserve">TfL has partnered with charity 1 </w:t>
      </w:r>
      <w:proofErr w:type="gramStart"/>
      <w:r w:rsidR="00A71F74" w:rsidRPr="00027056">
        <w:rPr>
          <w:rFonts w:ascii="Arial" w:hAnsi="Arial" w:cs="Arial"/>
          <w:sz w:val="22"/>
          <w:szCs w:val="22"/>
        </w:rPr>
        <w:t>Million</w:t>
      </w:r>
      <w:proofErr w:type="gramEnd"/>
      <w:r w:rsidR="00A71F74" w:rsidRPr="00027056">
        <w:rPr>
          <w:rFonts w:ascii="Arial" w:hAnsi="Arial" w:cs="Arial"/>
          <w:sz w:val="22"/>
          <w:szCs w:val="22"/>
        </w:rPr>
        <w:t xml:space="preserve"> Mentors to mentor young people interested in STEM careers. Whilst the Metropolitan Police has identified mentors for programmes such as Spark 2 Life, with a focus on young people at risk of offending or exclusion.</w:t>
      </w:r>
    </w:p>
    <w:p w14:paraId="3EABB877" w14:textId="77777777" w:rsidR="00F82A79" w:rsidRPr="00027056" w:rsidRDefault="00F82A79" w:rsidP="00027056">
      <w:pPr>
        <w:pStyle w:val="paragraph"/>
        <w:spacing w:before="0" w:beforeAutospacing="0" w:after="0" w:afterAutospacing="0" w:line="252" w:lineRule="auto"/>
        <w:ind w:left="720"/>
        <w:rPr>
          <w:rFonts w:ascii="Arial" w:hAnsi="Arial" w:cs="Arial"/>
          <w:sz w:val="22"/>
          <w:szCs w:val="22"/>
        </w:rPr>
      </w:pPr>
    </w:p>
    <w:p w14:paraId="2EB2EE93" w14:textId="31A7FBB2" w:rsidR="00997498" w:rsidRPr="00027056" w:rsidRDefault="00F82A79" w:rsidP="008F6BF9">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Plans for the year ahead include </w:t>
      </w:r>
      <w:r w:rsidR="00997498" w:rsidRPr="00027056">
        <w:rPr>
          <w:rFonts w:ascii="Arial" w:hAnsi="Arial" w:cs="Arial"/>
          <w:sz w:val="22"/>
          <w:szCs w:val="22"/>
        </w:rPr>
        <w:t xml:space="preserve">connecting employees to New Deal for Young People mentoring programmes and other youth organisations or volunteering opportunities. They also include supporting </w:t>
      </w:r>
      <w:r w:rsidR="008F6BF9">
        <w:rPr>
          <w:rFonts w:ascii="Arial" w:hAnsi="Arial" w:cs="Arial"/>
          <w:sz w:val="22"/>
          <w:szCs w:val="22"/>
        </w:rPr>
        <w:t xml:space="preserve">development </w:t>
      </w:r>
      <w:r w:rsidR="00997498" w:rsidRPr="00027056">
        <w:rPr>
          <w:rFonts w:ascii="Arial" w:hAnsi="Arial" w:cs="Arial"/>
          <w:sz w:val="22"/>
          <w:szCs w:val="22"/>
        </w:rPr>
        <w:t xml:space="preserve">of the GLA’s Mentoring Academy Pilot, which </w:t>
      </w:r>
      <w:r w:rsidR="008F6BF9" w:rsidRPr="008F6BF9">
        <w:rPr>
          <w:rFonts w:ascii="Arial" w:hAnsi="Arial" w:cs="Arial"/>
          <w:sz w:val="22"/>
          <w:szCs w:val="22"/>
        </w:rPr>
        <w:t xml:space="preserve">is working with youth organisations to address challenges in delivering mentoring provision across London, as well as </w:t>
      </w:r>
      <w:r w:rsidR="00997498" w:rsidRPr="00027056">
        <w:rPr>
          <w:rFonts w:ascii="Arial" w:hAnsi="Arial" w:cs="Arial"/>
          <w:sz w:val="22"/>
          <w:szCs w:val="22"/>
        </w:rPr>
        <w:t>adopting and promoting the Mentoring Quality Framework - a self-assessment tool to help organisations that provide mentoring for young people to reflect and develop their practice.</w:t>
      </w:r>
    </w:p>
    <w:bookmarkEnd w:id="0"/>
    <w:p w14:paraId="59CC3FA2" w14:textId="7196511E" w:rsidR="00A71F74" w:rsidRPr="00027056" w:rsidRDefault="00A71F74" w:rsidP="00997498">
      <w:pPr>
        <w:pStyle w:val="paragraph"/>
        <w:spacing w:before="0" w:beforeAutospacing="0" w:after="0" w:afterAutospacing="0" w:line="252" w:lineRule="auto"/>
        <w:rPr>
          <w:rFonts w:ascii="Arial" w:hAnsi="Arial" w:cs="Arial"/>
          <w:sz w:val="22"/>
          <w:szCs w:val="22"/>
        </w:rPr>
      </w:pPr>
      <w:r w:rsidRPr="00027056">
        <w:rPr>
          <w:rFonts w:ascii="Arial" w:hAnsi="Arial" w:cs="Arial"/>
          <w:sz w:val="22"/>
          <w:szCs w:val="22"/>
        </w:rPr>
        <w:t> </w:t>
      </w:r>
    </w:p>
    <w:p w14:paraId="0BB1FD1A" w14:textId="77777777" w:rsidR="00A71F74" w:rsidRPr="006920EA" w:rsidRDefault="00A71F74" w:rsidP="00A71F74">
      <w:pPr>
        <w:pStyle w:val="paragraph"/>
        <w:spacing w:before="0" w:beforeAutospacing="0" w:after="0" w:afterAutospacing="0" w:line="252" w:lineRule="auto"/>
        <w:rPr>
          <w:rFonts w:ascii="Arial" w:hAnsi="Arial" w:cs="Arial"/>
          <w:b/>
          <w:bCs/>
          <w:sz w:val="22"/>
          <w:szCs w:val="22"/>
        </w:rPr>
      </w:pPr>
      <w:r w:rsidRPr="006920EA">
        <w:rPr>
          <w:rStyle w:val="eop"/>
          <w:rFonts w:ascii="Arial" w:hAnsi="Arial" w:cs="Arial"/>
          <w:b/>
          <w:bCs/>
          <w:color w:val="000000"/>
          <w:sz w:val="22"/>
          <w:szCs w:val="22"/>
          <w:shd w:val="clear" w:color="auto" w:fill="FFFFFF"/>
        </w:rPr>
        <w:t xml:space="preserve">Green New Deal </w:t>
      </w:r>
    </w:p>
    <w:p w14:paraId="46477A5A" w14:textId="77777777" w:rsidR="00A71F74" w:rsidRPr="00027056" w:rsidRDefault="00A71F74" w:rsidP="00A71F74">
      <w:pPr>
        <w:pStyle w:val="paragraph"/>
        <w:spacing w:before="0" w:beforeAutospacing="0" w:after="0" w:afterAutospacing="0" w:line="252" w:lineRule="auto"/>
        <w:rPr>
          <w:rFonts w:ascii="Arial" w:hAnsi="Arial" w:cs="Arial"/>
          <w:sz w:val="22"/>
          <w:szCs w:val="22"/>
        </w:rPr>
      </w:pPr>
      <w:r w:rsidRPr="00027056">
        <w:rPr>
          <w:rStyle w:val="eop"/>
          <w:rFonts w:ascii="Arial" w:hAnsi="Arial" w:cs="Arial"/>
          <w:color w:val="000000"/>
          <w:sz w:val="22"/>
          <w:szCs w:val="22"/>
          <w:shd w:val="clear" w:color="auto" w:fill="FFFFFF"/>
        </w:rPr>
        <w:t> </w:t>
      </w:r>
    </w:p>
    <w:p w14:paraId="68714D3D" w14:textId="77198FE0" w:rsidR="00F82A79" w:rsidRPr="00027056" w:rsidRDefault="00F82A79"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The Green New Deal </w:t>
      </w:r>
      <w:r w:rsidR="00F43540">
        <w:rPr>
          <w:rFonts w:ascii="Arial" w:hAnsi="Arial" w:cs="Arial"/>
          <w:sz w:val="22"/>
          <w:szCs w:val="22"/>
        </w:rPr>
        <w:t>w</w:t>
      </w:r>
      <w:r w:rsidRPr="00027056">
        <w:rPr>
          <w:rFonts w:ascii="Arial" w:hAnsi="Arial" w:cs="Arial"/>
          <w:sz w:val="22"/>
          <w:szCs w:val="22"/>
        </w:rPr>
        <w:t xml:space="preserve">orking </w:t>
      </w:r>
      <w:r w:rsidR="00F43540">
        <w:rPr>
          <w:rFonts w:ascii="Arial" w:hAnsi="Arial" w:cs="Arial"/>
          <w:sz w:val="22"/>
          <w:szCs w:val="22"/>
        </w:rPr>
        <w:t>g</w:t>
      </w:r>
      <w:r w:rsidRPr="00027056">
        <w:rPr>
          <w:rFonts w:ascii="Arial" w:hAnsi="Arial" w:cs="Arial"/>
          <w:sz w:val="22"/>
          <w:szCs w:val="22"/>
        </w:rPr>
        <w:t>roup aims to lead London’s net zero efforts by accelerating estate decarbonisation and ensuring a robust and trained workforce to meet industry needs for building decarbonisation</w:t>
      </w:r>
    </w:p>
    <w:p w14:paraId="3633ABAA" w14:textId="77777777" w:rsidR="00F82A79" w:rsidRPr="00027056" w:rsidRDefault="00F82A79" w:rsidP="00027056">
      <w:pPr>
        <w:pStyle w:val="paragraph"/>
        <w:spacing w:before="0" w:beforeAutospacing="0" w:after="0" w:afterAutospacing="0" w:line="252" w:lineRule="auto"/>
        <w:ind w:left="720"/>
        <w:rPr>
          <w:rFonts w:ascii="Arial" w:hAnsi="Arial" w:cs="Arial"/>
          <w:sz w:val="22"/>
          <w:szCs w:val="22"/>
        </w:rPr>
      </w:pPr>
    </w:p>
    <w:p w14:paraId="3F2DB978" w14:textId="01B427BB" w:rsidR="00A71F74"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lastRenderedPageBreak/>
        <w:t xml:space="preserve">Members have been </w:t>
      </w:r>
      <w:r w:rsidRPr="00995C8E">
        <w:rPr>
          <w:rFonts w:ascii="Arial" w:hAnsi="Arial" w:cs="Arial"/>
          <w:b/>
          <w:bCs/>
          <w:sz w:val="22"/>
          <w:szCs w:val="22"/>
        </w:rPr>
        <w:t>putting plans in place to achieve net-zero</w:t>
      </w:r>
      <w:r w:rsidRPr="00027056">
        <w:rPr>
          <w:rFonts w:ascii="Arial" w:hAnsi="Arial" w:cs="Arial"/>
          <w:sz w:val="22"/>
          <w:szCs w:val="22"/>
        </w:rPr>
        <w:t xml:space="preserve">, </w:t>
      </w:r>
      <w:r w:rsidRPr="00995C8E">
        <w:rPr>
          <w:rFonts w:ascii="Arial" w:hAnsi="Arial" w:cs="Arial"/>
          <w:b/>
          <w:bCs/>
          <w:sz w:val="22"/>
          <w:szCs w:val="22"/>
        </w:rPr>
        <w:t>and some have already implemented significant decarbonisation projects</w:t>
      </w:r>
      <w:r w:rsidRPr="00027056">
        <w:rPr>
          <w:rFonts w:ascii="Arial" w:hAnsi="Arial" w:cs="Arial"/>
          <w:sz w:val="22"/>
          <w:szCs w:val="22"/>
        </w:rPr>
        <w:t xml:space="preserve">, including Walthamstow Fire Station becoming England’s second zero-carbon fire station. </w:t>
      </w:r>
      <w:r w:rsidR="00816494" w:rsidRPr="00027056">
        <w:rPr>
          <w:rFonts w:ascii="Arial" w:hAnsi="Arial" w:cs="Arial"/>
          <w:sz w:val="22"/>
          <w:szCs w:val="22"/>
        </w:rPr>
        <w:t>Through its newly published ‘Climate Budget’, the GLA Group has committed to measures that will cut 249,000 tonnes of carbon by 2030 compared with 2015-16 levels - a reduction of 85%.   </w:t>
      </w:r>
    </w:p>
    <w:p w14:paraId="2B963007" w14:textId="77777777" w:rsidR="00F82A79" w:rsidRPr="00027056" w:rsidRDefault="00F82A79" w:rsidP="00027056">
      <w:pPr>
        <w:pStyle w:val="paragraph"/>
        <w:spacing w:before="0" w:beforeAutospacing="0" w:after="0" w:afterAutospacing="0" w:line="252" w:lineRule="auto"/>
        <w:ind w:left="720"/>
        <w:rPr>
          <w:rFonts w:ascii="Arial" w:hAnsi="Arial" w:cs="Arial"/>
          <w:sz w:val="22"/>
          <w:szCs w:val="22"/>
        </w:rPr>
      </w:pPr>
    </w:p>
    <w:p w14:paraId="5F3C3B59" w14:textId="2AB184A7" w:rsidR="0086222D" w:rsidRPr="00027056" w:rsidRDefault="0081649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The Church of England has a net zero by 2030 target on scopes 1, 2 and part of scope 3 emissions (business travel in non-owned transport)</w:t>
      </w:r>
      <w:r w:rsidR="00075AEC" w:rsidRPr="00027056">
        <w:rPr>
          <w:rFonts w:ascii="Arial" w:hAnsi="Arial" w:cs="Arial"/>
          <w:sz w:val="22"/>
          <w:szCs w:val="22"/>
        </w:rPr>
        <w:t xml:space="preserve">. The University of London has a net zero by 2036 target on scopes 1 and 2 and is developing a shared Decentralised Heat Network (DHN) with two </w:t>
      </w:r>
      <w:r w:rsidR="0086222D" w:rsidRPr="00027056">
        <w:rPr>
          <w:rFonts w:ascii="Arial" w:hAnsi="Arial" w:cs="Arial"/>
          <w:sz w:val="22"/>
          <w:szCs w:val="22"/>
        </w:rPr>
        <w:t>other</w:t>
      </w:r>
      <w:r w:rsidR="00075AEC" w:rsidRPr="00027056">
        <w:rPr>
          <w:rFonts w:ascii="Arial" w:hAnsi="Arial" w:cs="Arial"/>
          <w:sz w:val="22"/>
          <w:szCs w:val="22"/>
        </w:rPr>
        <w:t xml:space="preserve"> organisations using waste heat taken from sewers to power </w:t>
      </w:r>
      <w:r w:rsidR="0086222D" w:rsidRPr="00027056">
        <w:rPr>
          <w:rFonts w:ascii="Arial" w:hAnsi="Arial" w:cs="Arial"/>
          <w:sz w:val="22"/>
          <w:szCs w:val="22"/>
        </w:rPr>
        <w:t>six</w:t>
      </w:r>
      <w:r w:rsidR="00075AEC" w:rsidRPr="00027056">
        <w:rPr>
          <w:rFonts w:ascii="Arial" w:hAnsi="Arial" w:cs="Arial"/>
          <w:sz w:val="22"/>
          <w:szCs w:val="22"/>
        </w:rPr>
        <w:t xml:space="preserve"> of their buildings. The shared DHN will target 88% carbon reductions across the three organisations. The NHS has a net zero by 2040 target on their carbon footprint (scopes 1, 2 and part of scope 3 emissions) and a net zero by 2045 target on their carbon footprint plus (scopes 1, 2, 3, and travel-related emissions outside of their scopes). </w:t>
      </w:r>
    </w:p>
    <w:p w14:paraId="1D3C225E" w14:textId="77777777" w:rsidR="0086222D" w:rsidRPr="00027056" w:rsidRDefault="0086222D" w:rsidP="00027056">
      <w:pPr>
        <w:pStyle w:val="paragraph"/>
        <w:spacing w:before="0" w:beforeAutospacing="0" w:after="0" w:afterAutospacing="0" w:line="252" w:lineRule="auto"/>
        <w:ind w:left="720"/>
        <w:rPr>
          <w:rFonts w:ascii="Arial" w:hAnsi="Arial" w:cs="Arial"/>
          <w:sz w:val="22"/>
          <w:szCs w:val="22"/>
        </w:rPr>
      </w:pPr>
    </w:p>
    <w:p w14:paraId="031A7301" w14:textId="787016B6" w:rsidR="00075AEC" w:rsidRPr="00027056" w:rsidRDefault="00075AEC"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Several FE colleges are also </w:t>
      </w:r>
      <w:r w:rsidR="0086222D" w:rsidRPr="00027056">
        <w:rPr>
          <w:rFonts w:ascii="Arial" w:hAnsi="Arial" w:cs="Arial"/>
          <w:sz w:val="22"/>
          <w:szCs w:val="22"/>
        </w:rPr>
        <w:t>taking action to move to net zero</w:t>
      </w:r>
      <w:r w:rsidRPr="00027056">
        <w:rPr>
          <w:rFonts w:ascii="Arial" w:hAnsi="Arial" w:cs="Arial"/>
          <w:sz w:val="22"/>
          <w:szCs w:val="22"/>
        </w:rPr>
        <w:t xml:space="preserve">. London </w:t>
      </w:r>
      <w:proofErr w:type="gramStart"/>
      <w:r w:rsidRPr="00027056">
        <w:rPr>
          <w:rFonts w:ascii="Arial" w:hAnsi="Arial" w:cs="Arial"/>
          <w:sz w:val="22"/>
          <w:szCs w:val="22"/>
        </w:rPr>
        <w:t>South East</w:t>
      </w:r>
      <w:proofErr w:type="gramEnd"/>
      <w:r w:rsidRPr="00027056">
        <w:rPr>
          <w:rFonts w:ascii="Arial" w:hAnsi="Arial" w:cs="Arial"/>
          <w:sz w:val="22"/>
          <w:szCs w:val="22"/>
        </w:rPr>
        <w:t xml:space="preserve"> Colleges (LSEC) has a net zero by 2050 target and is developing an Energy Centre that will utilise source heat pumps for 50% of </w:t>
      </w:r>
      <w:r w:rsidR="0086222D" w:rsidRPr="00027056">
        <w:rPr>
          <w:rFonts w:ascii="Arial" w:hAnsi="Arial" w:cs="Arial"/>
          <w:sz w:val="22"/>
          <w:szCs w:val="22"/>
        </w:rPr>
        <w:t>its</w:t>
      </w:r>
      <w:r w:rsidRPr="00027056">
        <w:rPr>
          <w:rFonts w:ascii="Arial" w:hAnsi="Arial" w:cs="Arial"/>
          <w:sz w:val="22"/>
          <w:szCs w:val="22"/>
        </w:rPr>
        <w:t xml:space="preserve"> heating to decarbonise 10,000 sqm of </w:t>
      </w:r>
      <w:r w:rsidR="0086222D" w:rsidRPr="00027056">
        <w:rPr>
          <w:rFonts w:ascii="Arial" w:hAnsi="Arial" w:cs="Arial"/>
          <w:sz w:val="22"/>
          <w:szCs w:val="22"/>
        </w:rPr>
        <w:t>its</w:t>
      </w:r>
      <w:r w:rsidRPr="00027056">
        <w:rPr>
          <w:rFonts w:ascii="Arial" w:hAnsi="Arial" w:cs="Arial"/>
          <w:sz w:val="22"/>
          <w:szCs w:val="22"/>
        </w:rPr>
        <w:t xml:space="preserve"> estate. New City College is committed to reducing its environmental footprint and reduced its scope 1 and 2 emissions by 10% in 2021/22 compared to 2019/20 levels.  </w:t>
      </w:r>
    </w:p>
    <w:p w14:paraId="73C89EBF" w14:textId="77777777" w:rsidR="00816494" w:rsidRPr="00027056" w:rsidRDefault="00816494" w:rsidP="00027056">
      <w:pPr>
        <w:pStyle w:val="paragraph"/>
        <w:spacing w:before="0" w:beforeAutospacing="0" w:after="0" w:afterAutospacing="0" w:line="252" w:lineRule="auto"/>
        <w:ind w:left="720"/>
        <w:rPr>
          <w:rFonts w:ascii="Arial" w:hAnsi="Arial" w:cs="Arial"/>
          <w:sz w:val="22"/>
          <w:szCs w:val="22"/>
        </w:rPr>
      </w:pPr>
    </w:p>
    <w:p w14:paraId="6B7B80BA" w14:textId="26C952F8" w:rsidR="00A71F74" w:rsidRPr="00027056" w:rsidRDefault="00075AEC"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Anchor Institutions within the Green New Deal Working Group have joined the GLA, London Councils and the Cities Climate Investment Commission (3Ci) to enable and accelerate the flow of finance into climate-related projects to support London in reaching net zero by 2030. Anchors are supporting the creation of a pan-London pipeline of bankable projects and/or portfolios that could be funded by public and private capital in the upcoming years. </w:t>
      </w:r>
      <w:r w:rsidR="00A71F74" w:rsidRPr="00027056">
        <w:rPr>
          <w:rFonts w:ascii="Arial" w:hAnsi="Arial" w:cs="Arial"/>
          <w:sz w:val="22"/>
          <w:szCs w:val="22"/>
        </w:rPr>
        <w:t xml:space="preserve">Members have submitted </w:t>
      </w:r>
      <w:r w:rsidR="00A71F74" w:rsidRPr="00995C8E">
        <w:rPr>
          <w:rFonts w:ascii="Arial" w:hAnsi="Arial" w:cs="Arial"/>
          <w:b/>
          <w:bCs/>
          <w:sz w:val="22"/>
          <w:szCs w:val="22"/>
        </w:rPr>
        <w:t xml:space="preserve">71 </w:t>
      </w:r>
      <w:r w:rsidRPr="00995C8E">
        <w:rPr>
          <w:rFonts w:ascii="Arial" w:hAnsi="Arial" w:cs="Arial"/>
          <w:b/>
          <w:bCs/>
          <w:sz w:val="22"/>
          <w:szCs w:val="22"/>
        </w:rPr>
        <w:t xml:space="preserve">draft estate decarbonisation </w:t>
      </w:r>
      <w:r w:rsidR="00A71F74" w:rsidRPr="00995C8E">
        <w:rPr>
          <w:rFonts w:ascii="Arial" w:hAnsi="Arial" w:cs="Arial"/>
          <w:b/>
          <w:bCs/>
          <w:sz w:val="22"/>
          <w:szCs w:val="22"/>
        </w:rPr>
        <w:t>projects</w:t>
      </w:r>
      <w:r w:rsidR="00A71F74" w:rsidRPr="00027056">
        <w:rPr>
          <w:rFonts w:ascii="Arial" w:hAnsi="Arial" w:cs="Arial"/>
          <w:sz w:val="22"/>
          <w:szCs w:val="22"/>
        </w:rPr>
        <w:t xml:space="preserve"> including implementation of heat pumps, solar </w:t>
      </w:r>
      <w:proofErr w:type="gramStart"/>
      <w:r w:rsidR="00A71F74" w:rsidRPr="00027056">
        <w:rPr>
          <w:rFonts w:ascii="Arial" w:hAnsi="Arial" w:cs="Arial"/>
          <w:sz w:val="22"/>
          <w:szCs w:val="22"/>
        </w:rPr>
        <w:t>panels</w:t>
      </w:r>
      <w:proofErr w:type="gramEnd"/>
      <w:r w:rsidR="00A71F74" w:rsidRPr="00027056">
        <w:rPr>
          <w:rFonts w:ascii="Arial" w:hAnsi="Arial" w:cs="Arial"/>
          <w:sz w:val="22"/>
          <w:szCs w:val="22"/>
        </w:rPr>
        <w:t xml:space="preserve"> and insulation. </w:t>
      </w:r>
      <w:r w:rsidR="00027056" w:rsidRPr="00027056">
        <w:rPr>
          <w:rFonts w:ascii="Arial" w:hAnsi="Arial" w:cs="Arial"/>
          <w:sz w:val="22"/>
          <w:szCs w:val="22"/>
        </w:rPr>
        <w:t>Nine</w:t>
      </w:r>
      <w:r w:rsidR="00A71F74" w:rsidRPr="00027056">
        <w:rPr>
          <w:rFonts w:ascii="Arial" w:hAnsi="Arial" w:cs="Arial"/>
          <w:sz w:val="22"/>
          <w:szCs w:val="22"/>
        </w:rPr>
        <w:t xml:space="preserve"> of these projects alone could lead to more than 2,000 tonnes of CO2 savings.  </w:t>
      </w:r>
    </w:p>
    <w:p w14:paraId="2461D426" w14:textId="5814853A" w:rsidR="00075AEC" w:rsidRPr="00027056" w:rsidRDefault="00075AEC" w:rsidP="00027056">
      <w:pPr>
        <w:pStyle w:val="paragraph"/>
        <w:spacing w:before="0" w:beforeAutospacing="0" w:after="0" w:afterAutospacing="0" w:line="252" w:lineRule="auto"/>
        <w:ind w:left="720"/>
        <w:rPr>
          <w:rFonts w:ascii="Arial" w:hAnsi="Arial" w:cs="Arial"/>
          <w:sz w:val="22"/>
          <w:szCs w:val="22"/>
        </w:rPr>
      </w:pPr>
    </w:p>
    <w:p w14:paraId="404587B0" w14:textId="34833159" w:rsidR="00075AEC" w:rsidRPr="00027056" w:rsidRDefault="00075AEC"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The </w:t>
      </w:r>
      <w:r w:rsidR="0086222D" w:rsidRPr="00027056">
        <w:rPr>
          <w:rFonts w:ascii="Arial" w:hAnsi="Arial" w:cs="Arial"/>
          <w:sz w:val="22"/>
          <w:szCs w:val="22"/>
        </w:rPr>
        <w:t xml:space="preserve">Green New Deal </w:t>
      </w:r>
      <w:r w:rsidR="00F43540">
        <w:rPr>
          <w:rFonts w:ascii="Arial" w:hAnsi="Arial" w:cs="Arial"/>
          <w:sz w:val="22"/>
          <w:szCs w:val="22"/>
        </w:rPr>
        <w:t>w</w:t>
      </w:r>
      <w:r w:rsidRPr="00027056">
        <w:rPr>
          <w:rFonts w:ascii="Arial" w:hAnsi="Arial" w:cs="Arial"/>
          <w:sz w:val="22"/>
          <w:szCs w:val="22"/>
        </w:rPr>
        <w:t xml:space="preserve">orking </w:t>
      </w:r>
      <w:r w:rsidR="00F43540">
        <w:rPr>
          <w:rFonts w:ascii="Arial" w:hAnsi="Arial" w:cs="Arial"/>
          <w:sz w:val="22"/>
          <w:szCs w:val="22"/>
        </w:rPr>
        <w:t>g</w:t>
      </w:r>
      <w:r w:rsidRPr="00027056">
        <w:rPr>
          <w:rFonts w:ascii="Arial" w:hAnsi="Arial" w:cs="Arial"/>
          <w:sz w:val="22"/>
          <w:szCs w:val="22"/>
        </w:rPr>
        <w:t xml:space="preserve">roup has enabled Anchors to access technical support and funding opportunities to decarbonise their estate. For example, the GLA is working with partners to provide free support to </w:t>
      </w:r>
      <w:r w:rsidR="0086222D" w:rsidRPr="00995C8E">
        <w:rPr>
          <w:rFonts w:ascii="Arial" w:hAnsi="Arial" w:cs="Arial"/>
          <w:b/>
          <w:bCs/>
          <w:sz w:val="22"/>
          <w:szCs w:val="22"/>
        </w:rPr>
        <w:t xml:space="preserve">5 </w:t>
      </w:r>
      <w:r w:rsidRPr="00995C8E">
        <w:rPr>
          <w:rFonts w:ascii="Arial" w:hAnsi="Arial" w:cs="Arial"/>
          <w:b/>
          <w:bCs/>
          <w:sz w:val="22"/>
          <w:szCs w:val="22"/>
        </w:rPr>
        <w:t>NHS GP surgeries to reduce energy use through the Mayor's Business Climate Challenge</w:t>
      </w:r>
      <w:r w:rsidRPr="00027056">
        <w:rPr>
          <w:rFonts w:ascii="Arial" w:hAnsi="Arial" w:cs="Arial"/>
          <w:sz w:val="22"/>
          <w:szCs w:val="22"/>
        </w:rPr>
        <w:t xml:space="preserve"> (BCC). </w:t>
      </w:r>
      <w:r w:rsidR="0086222D" w:rsidRPr="00027056">
        <w:rPr>
          <w:rFonts w:ascii="Arial" w:hAnsi="Arial" w:cs="Arial"/>
          <w:sz w:val="22"/>
          <w:szCs w:val="22"/>
        </w:rPr>
        <w:t>L</w:t>
      </w:r>
      <w:r w:rsidRPr="00027056">
        <w:rPr>
          <w:rFonts w:ascii="Arial" w:hAnsi="Arial" w:cs="Arial"/>
          <w:sz w:val="22"/>
          <w:szCs w:val="22"/>
        </w:rPr>
        <w:t>earnings from their energy audits and recommended energy savings measures will inform retrofit planning for 1,300+ GPs London-wide. </w:t>
      </w:r>
      <w:r w:rsidR="00E27110" w:rsidRPr="00995C8E">
        <w:rPr>
          <w:rFonts w:ascii="Arial" w:hAnsi="Arial" w:cs="Arial"/>
          <w:b/>
          <w:bCs/>
          <w:sz w:val="22"/>
          <w:szCs w:val="22"/>
        </w:rPr>
        <w:t>Six</w:t>
      </w:r>
      <w:r w:rsidRPr="00995C8E">
        <w:rPr>
          <w:rFonts w:ascii="Arial" w:hAnsi="Arial" w:cs="Arial"/>
          <w:b/>
          <w:bCs/>
          <w:sz w:val="22"/>
          <w:szCs w:val="22"/>
        </w:rPr>
        <w:t xml:space="preserve"> Anchors have engaged </w:t>
      </w:r>
      <w:r w:rsidR="00F43540" w:rsidRPr="00995C8E">
        <w:rPr>
          <w:rFonts w:ascii="Arial" w:hAnsi="Arial" w:cs="Arial"/>
          <w:b/>
          <w:bCs/>
          <w:sz w:val="22"/>
          <w:szCs w:val="22"/>
        </w:rPr>
        <w:t>with</w:t>
      </w:r>
      <w:r w:rsidR="00995C8E" w:rsidRPr="00995C8E">
        <w:rPr>
          <w:rFonts w:ascii="Arial" w:hAnsi="Arial" w:cs="Arial"/>
          <w:b/>
          <w:bCs/>
          <w:sz w:val="22"/>
          <w:szCs w:val="22"/>
        </w:rPr>
        <w:t>,</w:t>
      </w:r>
      <w:r w:rsidR="00F43540" w:rsidRPr="00995C8E">
        <w:rPr>
          <w:rFonts w:ascii="Arial" w:hAnsi="Arial" w:cs="Arial"/>
          <w:b/>
          <w:bCs/>
          <w:sz w:val="22"/>
          <w:szCs w:val="22"/>
        </w:rPr>
        <w:t xml:space="preserve"> </w:t>
      </w:r>
      <w:r w:rsidRPr="00995C8E">
        <w:rPr>
          <w:rFonts w:ascii="Arial" w:hAnsi="Arial" w:cs="Arial"/>
          <w:b/>
          <w:bCs/>
          <w:sz w:val="22"/>
          <w:szCs w:val="22"/>
        </w:rPr>
        <w:t xml:space="preserve">and </w:t>
      </w:r>
      <w:r w:rsidR="00E27110" w:rsidRPr="00995C8E">
        <w:rPr>
          <w:rFonts w:ascii="Arial" w:hAnsi="Arial" w:cs="Arial"/>
          <w:b/>
          <w:bCs/>
          <w:sz w:val="22"/>
          <w:szCs w:val="22"/>
        </w:rPr>
        <w:t>two</w:t>
      </w:r>
      <w:r w:rsidRPr="00995C8E">
        <w:rPr>
          <w:rFonts w:ascii="Arial" w:hAnsi="Arial" w:cs="Arial"/>
          <w:b/>
          <w:bCs/>
          <w:sz w:val="22"/>
          <w:szCs w:val="22"/>
        </w:rPr>
        <w:t xml:space="preserve"> Anchors have or plan to receive support from</w:t>
      </w:r>
      <w:r w:rsidR="00995C8E" w:rsidRPr="00995C8E">
        <w:rPr>
          <w:rFonts w:ascii="Arial" w:hAnsi="Arial" w:cs="Arial"/>
          <w:b/>
          <w:bCs/>
          <w:sz w:val="22"/>
          <w:szCs w:val="22"/>
        </w:rPr>
        <w:t>,</w:t>
      </w:r>
      <w:r w:rsidRPr="00995C8E">
        <w:rPr>
          <w:rFonts w:ascii="Arial" w:hAnsi="Arial" w:cs="Arial"/>
          <w:b/>
          <w:bCs/>
          <w:sz w:val="22"/>
          <w:szCs w:val="22"/>
        </w:rPr>
        <w:t xml:space="preserve"> the </w:t>
      </w:r>
      <w:r w:rsidR="0086222D" w:rsidRPr="00995C8E">
        <w:rPr>
          <w:rFonts w:ascii="Arial" w:hAnsi="Arial" w:cs="Arial"/>
          <w:b/>
          <w:bCs/>
          <w:sz w:val="22"/>
          <w:szCs w:val="22"/>
        </w:rPr>
        <w:t xml:space="preserve">GLA’s </w:t>
      </w:r>
      <w:r w:rsidRPr="00995C8E">
        <w:rPr>
          <w:rFonts w:ascii="Arial" w:hAnsi="Arial" w:cs="Arial"/>
          <w:b/>
          <w:bCs/>
          <w:sz w:val="22"/>
          <w:szCs w:val="22"/>
        </w:rPr>
        <w:t>Retrofit Accelerator – Workplaces</w:t>
      </w:r>
      <w:r w:rsidRPr="00027056">
        <w:rPr>
          <w:rFonts w:ascii="Arial" w:hAnsi="Arial" w:cs="Arial"/>
          <w:sz w:val="22"/>
          <w:szCs w:val="22"/>
        </w:rPr>
        <w:t xml:space="preserve"> to decarbonise 127,351 sqm of their estate, helping to drive down emissions from buildings. </w:t>
      </w:r>
    </w:p>
    <w:p w14:paraId="7C065C19" w14:textId="774628A7" w:rsidR="00A71F74" w:rsidRPr="00027056" w:rsidRDefault="00A71F74" w:rsidP="00027056">
      <w:pPr>
        <w:pStyle w:val="paragraph"/>
        <w:spacing w:before="0" w:beforeAutospacing="0" w:after="0" w:afterAutospacing="0" w:line="252" w:lineRule="auto"/>
        <w:ind w:left="720"/>
        <w:rPr>
          <w:rFonts w:ascii="Arial" w:hAnsi="Arial" w:cs="Arial"/>
          <w:sz w:val="22"/>
          <w:szCs w:val="22"/>
        </w:rPr>
      </w:pPr>
    </w:p>
    <w:p w14:paraId="7FFD9AF3" w14:textId="65729B42" w:rsidR="00F82A79"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To help move faster to net zero, </w:t>
      </w:r>
      <w:r w:rsidR="00F43540">
        <w:rPr>
          <w:rFonts w:ascii="Arial" w:hAnsi="Arial" w:cs="Arial"/>
          <w:sz w:val="22"/>
          <w:szCs w:val="22"/>
        </w:rPr>
        <w:t>a</w:t>
      </w:r>
      <w:r w:rsidRPr="00027056">
        <w:rPr>
          <w:rFonts w:ascii="Arial" w:hAnsi="Arial" w:cs="Arial"/>
          <w:sz w:val="22"/>
          <w:szCs w:val="22"/>
        </w:rPr>
        <w:t xml:space="preserve">nchor </w:t>
      </w:r>
      <w:r w:rsidR="00F43540">
        <w:rPr>
          <w:rFonts w:ascii="Arial" w:hAnsi="Arial" w:cs="Arial"/>
          <w:sz w:val="22"/>
          <w:szCs w:val="22"/>
        </w:rPr>
        <w:t>i</w:t>
      </w:r>
      <w:r w:rsidRPr="00027056">
        <w:rPr>
          <w:rFonts w:ascii="Arial" w:hAnsi="Arial" w:cs="Arial"/>
          <w:sz w:val="22"/>
          <w:szCs w:val="22"/>
        </w:rPr>
        <w:t xml:space="preserve">nstitutions are also </w:t>
      </w:r>
      <w:r w:rsidRPr="00995C8E">
        <w:rPr>
          <w:rFonts w:ascii="Arial" w:hAnsi="Arial" w:cs="Arial"/>
          <w:b/>
          <w:bCs/>
          <w:sz w:val="22"/>
          <w:szCs w:val="22"/>
        </w:rPr>
        <w:t xml:space="preserve">on track to have trained almost 1,000 members of their staff in environmental sustainability or carbon literacy </w:t>
      </w:r>
      <w:r w:rsidRPr="00995C8E">
        <w:rPr>
          <w:rFonts w:ascii="Arial" w:hAnsi="Arial" w:cs="Arial"/>
          <w:sz w:val="22"/>
          <w:szCs w:val="22"/>
        </w:rPr>
        <w:t>by the end of this financial year</w:t>
      </w:r>
      <w:r w:rsidRPr="00027056">
        <w:rPr>
          <w:rFonts w:ascii="Arial" w:hAnsi="Arial" w:cs="Arial"/>
          <w:sz w:val="22"/>
          <w:szCs w:val="22"/>
        </w:rPr>
        <w:t>. </w:t>
      </w:r>
    </w:p>
    <w:p w14:paraId="682B0A23" w14:textId="77777777" w:rsidR="00F82A79" w:rsidRPr="00027056" w:rsidRDefault="00F82A79" w:rsidP="00027056">
      <w:pPr>
        <w:pStyle w:val="paragraph"/>
        <w:spacing w:before="0" w:beforeAutospacing="0" w:after="0" w:afterAutospacing="0" w:line="252" w:lineRule="auto"/>
        <w:ind w:left="720"/>
        <w:rPr>
          <w:rFonts w:ascii="Arial" w:hAnsi="Arial" w:cs="Arial"/>
          <w:sz w:val="22"/>
          <w:szCs w:val="22"/>
        </w:rPr>
      </w:pPr>
    </w:p>
    <w:p w14:paraId="6485E985" w14:textId="6AAB3FEA" w:rsidR="00027056" w:rsidRPr="00027056" w:rsidRDefault="00F82A79"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lastRenderedPageBreak/>
        <w:t xml:space="preserve">The </w:t>
      </w:r>
      <w:r w:rsidR="00E27110">
        <w:rPr>
          <w:rFonts w:ascii="Arial" w:hAnsi="Arial" w:cs="Arial"/>
          <w:sz w:val="22"/>
          <w:szCs w:val="22"/>
        </w:rPr>
        <w:t>Green New Deal working g</w:t>
      </w:r>
      <w:r w:rsidRPr="00027056">
        <w:rPr>
          <w:rFonts w:ascii="Arial" w:hAnsi="Arial" w:cs="Arial"/>
          <w:sz w:val="22"/>
          <w:szCs w:val="22"/>
        </w:rPr>
        <w:t>roup is currently reviewing key deliverables and activity for next financial year in its current two workstreams of estate decarbonisation and workforce development, whilst also exploring new areas of activity to introduce. This will be discussed further at the next Working Group meeting in March.</w:t>
      </w:r>
    </w:p>
    <w:p w14:paraId="22D06883" w14:textId="599281AF" w:rsidR="00A71F74" w:rsidRPr="00027056" w:rsidRDefault="00F82A79" w:rsidP="00027056">
      <w:pPr>
        <w:pStyle w:val="paragraph"/>
        <w:spacing w:before="0" w:beforeAutospacing="0" w:after="0" w:afterAutospacing="0" w:line="252" w:lineRule="auto"/>
        <w:rPr>
          <w:rFonts w:ascii="Arial" w:hAnsi="Arial" w:cs="Arial"/>
          <w:sz w:val="22"/>
          <w:szCs w:val="22"/>
        </w:rPr>
      </w:pPr>
      <w:r w:rsidRPr="00027056">
        <w:rPr>
          <w:rFonts w:ascii="Arial" w:hAnsi="Arial" w:cs="Arial"/>
          <w:sz w:val="22"/>
          <w:szCs w:val="22"/>
        </w:rPr>
        <w:t xml:space="preserve"> </w:t>
      </w:r>
    </w:p>
    <w:p w14:paraId="3046242F" w14:textId="77777777" w:rsidR="00A71F74" w:rsidRPr="006920EA" w:rsidRDefault="00A71F74" w:rsidP="00A71F74">
      <w:pPr>
        <w:pStyle w:val="paragraph"/>
        <w:spacing w:before="0" w:beforeAutospacing="0" w:after="0" w:afterAutospacing="0" w:line="252" w:lineRule="auto"/>
        <w:rPr>
          <w:rFonts w:ascii="Arial" w:hAnsi="Arial" w:cs="Arial"/>
          <w:b/>
          <w:bCs/>
          <w:sz w:val="22"/>
          <w:szCs w:val="22"/>
        </w:rPr>
      </w:pPr>
      <w:r w:rsidRPr="006920EA">
        <w:rPr>
          <w:rFonts w:ascii="Arial" w:hAnsi="Arial" w:cs="Arial"/>
          <w:b/>
          <w:bCs/>
          <w:sz w:val="22"/>
          <w:szCs w:val="22"/>
        </w:rPr>
        <w:t xml:space="preserve">Place-based </w:t>
      </w:r>
    </w:p>
    <w:p w14:paraId="0DE6FA91" w14:textId="77777777" w:rsidR="00A71F74" w:rsidRPr="00027056" w:rsidRDefault="00A71F74" w:rsidP="00A71F74">
      <w:pPr>
        <w:pStyle w:val="ListParagraph"/>
        <w:rPr>
          <w:rFonts w:ascii="Arial" w:hAnsi="Arial" w:cs="Arial"/>
          <w:sz w:val="22"/>
          <w:szCs w:val="22"/>
        </w:rPr>
      </w:pPr>
      <w:r w:rsidRPr="00027056">
        <w:rPr>
          <w:rFonts w:ascii="Arial" w:hAnsi="Arial" w:cs="Arial"/>
          <w:sz w:val="22"/>
          <w:szCs w:val="22"/>
        </w:rPr>
        <w:t> </w:t>
      </w:r>
    </w:p>
    <w:p w14:paraId="712737D5" w14:textId="25C0E841" w:rsidR="00A71F74"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Our colleagues in the boroughs have been working to share good practice about effective anchor institution networks at the local level. </w:t>
      </w:r>
    </w:p>
    <w:p w14:paraId="0895D833" w14:textId="75448428" w:rsidR="00A71F74" w:rsidRPr="00027056" w:rsidRDefault="00A71F74" w:rsidP="00027056">
      <w:pPr>
        <w:pStyle w:val="paragraph"/>
        <w:spacing w:before="0" w:beforeAutospacing="0" w:after="0" w:afterAutospacing="0" w:line="252" w:lineRule="auto"/>
        <w:ind w:left="720"/>
        <w:rPr>
          <w:rFonts w:ascii="Arial" w:hAnsi="Arial" w:cs="Arial"/>
          <w:sz w:val="22"/>
          <w:szCs w:val="22"/>
        </w:rPr>
      </w:pPr>
    </w:p>
    <w:p w14:paraId="1C08AC1A" w14:textId="77777777" w:rsidR="00F82A79" w:rsidRPr="00027056" w:rsidRDefault="00A71F74"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This has culminated in a </w:t>
      </w:r>
      <w:r w:rsidRPr="00995C8E">
        <w:rPr>
          <w:rFonts w:ascii="Arial" w:hAnsi="Arial" w:cs="Arial"/>
          <w:b/>
          <w:bCs/>
          <w:sz w:val="22"/>
          <w:szCs w:val="22"/>
        </w:rPr>
        <w:t>report and how to guide</w:t>
      </w:r>
      <w:r w:rsidRPr="00027056">
        <w:rPr>
          <w:rFonts w:ascii="Arial" w:hAnsi="Arial" w:cs="Arial"/>
          <w:sz w:val="22"/>
          <w:szCs w:val="22"/>
        </w:rPr>
        <w:t xml:space="preserve"> to support those looking to establish and grow anchor networks in their local area.</w:t>
      </w:r>
      <w:r w:rsidR="00F82A79" w:rsidRPr="00027056">
        <w:rPr>
          <w:rFonts w:ascii="Arial" w:hAnsi="Arial" w:cs="Arial"/>
          <w:sz w:val="22"/>
          <w:szCs w:val="22"/>
        </w:rPr>
        <w:t xml:space="preserve"> </w:t>
      </w:r>
    </w:p>
    <w:p w14:paraId="13BF2EA0" w14:textId="77777777" w:rsidR="00F82A79" w:rsidRPr="00027056" w:rsidRDefault="00F82A79" w:rsidP="00027056">
      <w:pPr>
        <w:pStyle w:val="paragraph"/>
        <w:spacing w:before="0" w:beforeAutospacing="0" w:after="0" w:afterAutospacing="0" w:line="252" w:lineRule="auto"/>
        <w:ind w:left="720"/>
        <w:rPr>
          <w:rFonts w:ascii="Arial" w:hAnsi="Arial" w:cs="Arial"/>
          <w:sz w:val="22"/>
          <w:szCs w:val="22"/>
        </w:rPr>
      </w:pPr>
    </w:p>
    <w:p w14:paraId="7793CCB4" w14:textId="1DF2FEAF" w:rsidR="00A71F74" w:rsidRPr="00027056" w:rsidRDefault="00F82A79"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New anchor networks are being established</w:t>
      </w:r>
      <w:r w:rsidR="00E27110">
        <w:rPr>
          <w:rFonts w:ascii="Arial" w:hAnsi="Arial" w:cs="Arial"/>
          <w:sz w:val="22"/>
          <w:szCs w:val="22"/>
        </w:rPr>
        <w:t xml:space="preserve"> across the city</w:t>
      </w:r>
      <w:r w:rsidRPr="00027056">
        <w:rPr>
          <w:rFonts w:ascii="Arial" w:hAnsi="Arial" w:cs="Arial"/>
          <w:sz w:val="22"/>
          <w:szCs w:val="22"/>
        </w:rPr>
        <w:t xml:space="preserve"> including by the new administration at Westminster City Council. </w:t>
      </w:r>
    </w:p>
    <w:p w14:paraId="5D0A9866" w14:textId="77777777" w:rsidR="00F82A79" w:rsidRPr="00027056" w:rsidRDefault="00F82A79" w:rsidP="00027056">
      <w:pPr>
        <w:pStyle w:val="paragraph"/>
        <w:spacing w:before="0" w:beforeAutospacing="0" w:after="0" w:afterAutospacing="0" w:line="252" w:lineRule="auto"/>
        <w:ind w:left="720"/>
        <w:rPr>
          <w:rFonts w:ascii="Arial" w:hAnsi="Arial" w:cs="Arial"/>
          <w:sz w:val="22"/>
          <w:szCs w:val="22"/>
        </w:rPr>
      </w:pPr>
    </w:p>
    <w:p w14:paraId="1EA9395E" w14:textId="3C29711D" w:rsidR="00F82A79" w:rsidRPr="00027056" w:rsidRDefault="00F82A79" w:rsidP="00027056">
      <w:pPr>
        <w:pStyle w:val="paragraph"/>
        <w:numPr>
          <w:ilvl w:val="0"/>
          <w:numId w:val="17"/>
        </w:numPr>
        <w:spacing w:before="0" w:beforeAutospacing="0" w:after="0" w:afterAutospacing="0" w:line="252" w:lineRule="auto"/>
        <w:ind w:left="720" w:hanging="436"/>
        <w:rPr>
          <w:rFonts w:ascii="Arial" w:hAnsi="Arial" w:cs="Arial"/>
          <w:sz w:val="22"/>
          <w:szCs w:val="22"/>
        </w:rPr>
      </w:pPr>
      <w:r w:rsidRPr="00027056">
        <w:rPr>
          <w:rFonts w:ascii="Arial" w:hAnsi="Arial" w:cs="Arial"/>
          <w:sz w:val="22"/>
          <w:szCs w:val="22"/>
        </w:rPr>
        <w:t xml:space="preserve">The </w:t>
      </w:r>
      <w:r w:rsidR="00E27110">
        <w:rPr>
          <w:rFonts w:ascii="Arial" w:hAnsi="Arial" w:cs="Arial"/>
          <w:sz w:val="22"/>
          <w:szCs w:val="22"/>
        </w:rPr>
        <w:t xml:space="preserve">Place-Based </w:t>
      </w:r>
      <w:r w:rsidR="00F43540">
        <w:rPr>
          <w:rFonts w:ascii="Arial" w:hAnsi="Arial" w:cs="Arial"/>
          <w:sz w:val="22"/>
          <w:szCs w:val="22"/>
        </w:rPr>
        <w:t>w</w:t>
      </w:r>
      <w:r w:rsidRPr="00027056">
        <w:rPr>
          <w:rFonts w:ascii="Arial" w:hAnsi="Arial" w:cs="Arial"/>
          <w:sz w:val="22"/>
          <w:szCs w:val="22"/>
        </w:rPr>
        <w:t xml:space="preserve">orking </w:t>
      </w:r>
      <w:r w:rsidR="00F43540">
        <w:rPr>
          <w:rFonts w:ascii="Arial" w:hAnsi="Arial" w:cs="Arial"/>
          <w:sz w:val="22"/>
          <w:szCs w:val="22"/>
        </w:rPr>
        <w:t>g</w:t>
      </w:r>
      <w:r w:rsidRPr="00027056">
        <w:rPr>
          <w:rFonts w:ascii="Arial" w:hAnsi="Arial" w:cs="Arial"/>
          <w:sz w:val="22"/>
          <w:szCs w:val="22"/>
        </w:rPr>
        <w:t xml:space="preserve">roup now has a new Chair – Caroline Wilson, Director of Inclusive Regeneration at the London Borough of Islington – who is establishing a community of practice across local anchor networks to further share and develop practice. </w:t>
      </w:r>
    </w:p>
    <w:p w14:paraId="54A6954E" w14:textId="77777777" w:rsidR="00AF22A0" w:rsidRPr="00027056" w:rsidRDefault="00AF22A0" w:rsidP="00AF22A0">
      <w:pPr>
        <w:rPr>
          <w:rFonts w:ascii="Arial" w:hAnsi="Arial" w:cs="Arial"/>
          <w:sz w:val="22"/>
          <w:szCs w:val="22"/>
        </w:rPr>
      </w:pPr>
    </w:p>
    <w:sectPr w:rsidR="00AF22A0" w:rsidRPr="00027056" w:rsidSect="00AF22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8204" w14:textId="77777777" w:rsidR="00B4774B" w:rsidRDefault="00B4774B" w:rsidP="006920EA">
      <w:r>
        <w:separator/>
      </w:r>
    </w:p>
  </w:endnote>
  <w:endnote w:type="continuationSeparator" w:id="0">
    <w:p w14:paraId="259A7F33" w14:textId="77777777" w:rsidR="00B4774B" w:rsidRDefault="00B4774B" w:rsidP="0069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FBCC" w14:textId="77777777" w:rsidR="00B4774B" w:rsidRDefault="00B4774B" w:rsidP="006920EA">
      <w:r>
        <w:separator/>
      </w:r>
    </w:p>
  </w:footnote>
  <w:footnote w:type="continuationSeparator" w:id="0">
    <w:p w14:paraId="0C763D79" w14:textId="77777777" w:rsidR="00B4774B" w:rsidRDefault="00B4774B" w:rsidP="00692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D88F" w14:textId="1926B55B" w:rsidR="006920EA" w:rsidRDefault="006920EA" w:rsidP="006920EA">
    <w:pPr>
      <w:pStyle w:val="Header"/>
      <w:jc w:val="right"/>
    </w:pPr>
    <w:r>
      <w:rPr>
        <w:noProof/>
      </w:rPr>
      <w:drawing>
        <wp:inline distT="0" distB="0" distL="0" distR="0" wp14:anchorId="578068A5" wp14:editId="44B372C9">
          <wp:extent cx="1814513" cy="8495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328" cy="851346"/>
                  </a:xfrm>
                  <a:prstGeom prst="rect">
                    <a:avLst/>
                  </a:prstGeom>
                  <a:noFill/>
                  <a:ln>
                    <a:noFill/>
                  </a:ln>
                </pic:spPr>
              </pic:pic>
            </a:graphicData>
          </a:graphic>
        </wp:inline>
      </w:drawing>
    </w:r>
  </w:p>
  <w:p w14:paraId="388C98FB" w14:textId="77777777" w:rsidR="006920EA" w:rsidRDefault="00692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0EC"/>
    <w:multiLevelType w:val="multilevel"/>
    <w:tmpl w:val="C9E25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ACCD"/>
    <w:multiLevelType w:val="hybridMultilevel"/>
    <w:tmpl w:val="4D96CA94"/>
    <w:lvl w:ilvl="0" w:tplc="46B27A7E">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176AD2A">
      <w:start w:val="1"/>
      <w:numFmt w:val="lowerRoman"/>
      <w:lvlText w:val="%3."/>
      <w:lvlJc w:val="right"/>
      <w:pPr>
        <w:ind w:left="2160" w:hanging="180"/>
      </w:pPr>
    </w:lvl>
    <w:lvl w:ilvl="3" w:tplc="D79C176E">
      <w:start w:val="1"/>
      <w:numFmt w:val="decimal"/>
      <w:lvlText w:val="%4."/>
      <w:lvlJc w:val="left"/>
      <w:pPr>
        <w:ind w:left="2880" w:hanging="360"/>
      </w:pPr>
    </w:lvl>
    <w:lvl w:ilvl="4" w:tplc="36CEDB0E">
      <w:start w:val="1"/>
      <w:numFmt w:val="lowerLetter"/>
      <w:lvlText w:val="%5."/>
      <w:lvlJc w:val="left"/>
      <w:pPr>
        <w:ind w:left="3600" w:hanging="360"/>
      </w:pPr>
    </w:lvl>
    <w:lvl w:ilvl="5" w:tplc="61EE8064">
      <w:start w:val="1"/>
      <w:numFmt w:val="lowerRoman"/>
      <w:lvlText w:val="%6."/>
      <w:lvlJc w:val="right"/>
      <w:pPr>
        <w:ind w:left="4320" w:hanging="180"/>
      </w:pPr>
    </w:lvl>
    <w:lvl w:ilvl="6" w:tplc="E6A87ED6">
      <w:start w:val="1"/>
      <w:numFmt w:val="decimal"/>
      <w:lvlText w:val="%7."/>
      <w:lvlJc w:val="left"/>
      <w:pPr>
        <w:ind w:left="5040" w:hanging="360"/>
      </w:pPr>
    </w:lvl>
    <w:lvl w:ilvl="7" w:tplc="5C34A652">
      <w:start w:val="1"/>
      <w:numFmt w:val="lowerLetter"/>
      <w:lvlText w:val="%8."/>
      <w:lvlJc w:val="left"/>
      <w:pPr>
        <w:ind w:left="5760" w:hanging="360"/>
      </w:pPr>
    </w:lvl>
    <w:lvl w:ilvl="8" w:tplc="21866E5A">
      <w:start w:val="1"/>
      <w:numFmt w:val="lowerRoman"/>
      <w:lvlText w:val="%9."/>
      <w:lvlJc w:val="right"/>
      <w:pPr>
        <w:ind w:left="6480" w:hanging="180"/>
      </w:pPr>
    </w:lvl>
  </w:abstractNum>
  <w:abstractNum w:abstractNumId="2" w15:restartNumberingAfterBreak="0">
    <w:nsid w:val="0E574973"/>
    <w:multiLevelType w:val="multilevel"/>
    <w:tmpl w:val="F61405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3F24DE"/>
    <w:multiLevelType w:val="hybridMultilevel"/>
    <w:tmpl w:val="2ECCB6C6"/>
    <w:lvl w:ilvl="0" w:tplc="08090001">
      <w:start w:val="1"/>
      <w:numFmt w:val="bullet"/>
      <w:lvlText w:val=""/>
      <w:lvlJc w:val="left"/>
      <w:pPr>
        <w:ind w:left="1440" w:hanging="72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1C214977"/>
    <w:multiLevelType w:val="hybridMultilevel"/>
    <w:tmpl w:val="4AECC34E"/>
    <w:lvl w:ilvl="0" w:tplc="08090003">
      <w:start w:val="1"/>
      <w:numFmt w:val="bullet"/>
      <w:lvlText w:val="o"/>
      <w:lvlJc w:val="left"/>
      <w:pPr>
        <w:ind w:left="1440" w:hanging="72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824387A"/>
    <w:multiLevelType w:val="multilevel"/>
    <w:tmpl w:val="D09C82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E3626E"/>
    <w:multiLevelType w:val="hybridMultilevel"/>
    <w:tmpl w:val="6B3682F2"/>
    <w:lvl w:ilvl="0" w:tplc="5E72B140">
      <w:numFmt w:val="bullet"/>
      <w:lvlText w:val="-"/>
      <w:lvlJc w:val="left"/>
      <w:pPr>
        <w:ind w:left="72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F6BD9"/>
    <w:multiLevelType w:val="multilevel"/>
    <w:tmpl w:val="7B062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D5109"/>
    <w:multiLevelType w:val="multilevel"/>
    <w:tmpl w:val="FDE00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B5E153D"/>
    <w:multiLevelType w:val="multilevel"/>
    <w:tmpl w:val="F844E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51853B2"/>
    <w:multiLevelType w:val="hybridMultilevel"/>
    <w:tmpl w:val="43FA46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0C3D94"/>
    <w:multiLevelType w:val="multilevel"/>
    <w:tmpl w:val="3C1C6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408F9"/>
    <w:multiLevelType w:val="multilevel"/>
    <w:tmpl w:val="E8BCF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0420A"/>
    <w:multiLevelType w:val="multilevel"/>
    <w:tmpl w:val="82E4D3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4B33981"/>
    <w:multiLevelType w:val="multilevel"/>
    <w:tmpl w:val="85FE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B20D14"/>
    <w:multiLevelType w:val="multilevel"/>
    <w:tmpl w:val="C262A0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EE907E2"/>
    <w:multiLevelType w:val="multilevel"/>
    <w:tmpl w:val="49B40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3"/>
  </w:num>
  <w:num w:numId="5">
    <w:abstractNumId w:val="7"/>
  </w:num>
  <w:num w:numId="6">
    <w:abstractNumId w:val="15"/>
  </w:num>
  <w:num w:numId="7">
    <w:abstractNumId w:val="16"/>
  </w:num>
  <w:num w:numId="8">
    <w:abstractNumId w:val="11"/>
  </w:num>
  <w:num w:numId="9">
    <w:abstractNumId w:val="5"/>
  </w:num>
  <w:num w:numId="10">
    <w:abstractNumId w:val="0"/>
  </w:num>
  <w:num w:numId="11">
    <w:abstractNumId w:val="8"/>
  </w:num>
  <w:num w:numId="12">
    <w:abstractNumId w:val="14"/>
  </w:num>
  <w:num w:numId="13">
    <w:abstractNumId w:val="9"/>
  </w:num>
  <w:num w:numId="14">
    <w:abstractNumId w:val="1"/>
  </w:num>
  <w:num w:numId="15">
    <w:abstractNumId w:val="10"/>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74"/>
    <w:rsid w:val="000136B9"/>
    <w:rsid w:val="00027056"/>
    <w:rsid w:val="00075AEC"/>
    <w:rsid w:val="00091965"/>
    <w:rsid w:val="000B01E5"/>
    <w:rsid w:val="001143E3"/>
    <w:rsid w:val="00160129"/>
    <w:rsid w:val="002157A1"/>
    <w:rsid w:val="002B4D0F"/>
    <w:rsid w:val="002C3AAD"/>
    <w:rsid w:val="002E66FC"/>
    <w:rsid w:val="003362DC"/>
    <w:rsid w:val="0035694F"/>
    <w:rsid w:val="003A72D7"/>
    <w:rsid w:val="00635251"/>
    <w:rsid w:val="00652D30"/>
    <w:rsid w:val="006920EA"/>
    <w:rsid w:val="00696C59"/>
    <w:rsid w:val="00816494"/>
    <w:rsid w:val="0086222D"/>
    <w:rsid w:val="00876FCF"/>
    <w:rsid w:val="008F6BF9"/>
    <w:rsid w:val="00942F6E"/>
    <w:rsid w:val="00995C8E"/>
    <w:rsid w:val="00997498"/>
    <w:rsid w:val="009E79E4"/>
    <w:rsid w:val="00A71F74"/>
    <w:rsid w:val="00AF1F85"/>
    <w:rsid w:val="00AF22A0"/>
    <w:rsid w:val="00B4774B"/>
    <w:rsid w:val="00CB1E38"/>
    <w:rsid w:val="00D357DC"/>
    <w:rsid w:val="00D43831"/>
    <w:rsid w:val="00E27110"/>
    <w:rsid w:val="00E3757D"/>
    <w:rsid w:val="00EC2D3B"/>
    <w:rsid w:val="00F030C5"/>
    <w:rsid w:val="00F43540"/>
    <w:rsid w:val="00F51FD4"/>
    <w:rsid w:val="00F562F4"/>
    <w:rsid w:val="00F8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D0942"/>
  <w15:chartTrackingRefBased/>
  <w15:docId w15:val="{08CBCFF3-BD7A-4C3D-96A5-C7CCE545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A71F74"/>
    <w:rPr>
      <w:rFonts w:ascii="Foundry Form Sans" w:hAnsi="Foundry Form Sans"/>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71F74"/>
    <w:pPr>
      <w:ind w:left="720"/>
      <w:contextualSpacing/>
    </w:pPr>
    <w:rPr>
      <w:sz w:val="20"/>
      <w:szCs w:val="20"/>
    </w:rPr>
  </w:style>
  <w:style w:type="paragraph" w:customStyle="1" w:styleId="paragraph">
    <w:name w:val="paragraph"/>
    <w:basedOn w:val="Normal"/>
    <w:rsid w:val="00A71F74"/>
    <w:pPr>
      <w:spacing w:before="100" w:beforeAutospacing="1" w:after="100" w:afterAutospacing="1"/>
    </w:pPr>
    <w:rPr>
      <w:rFonts w:ascii="Times New Roman" w:eastAsiaTheme="minorHAnsi" w:hAnsi="Times New Roman"/>
      <w:lang w:eastAsia="en-GB"/>
    </w:rPr>
  </w:style>
  <w:style w:type="character" w:customStyle="1" w:styleId="eop">
    <w:name w:val="eop"/>
    <w:basedOn w:val="DefaultParagraphFont"/>
    <w:rsid w:val="00A71F74"/>
  </w:style>
  <w:style w:type="character" w:customStyle="1" w:styleId="normaltextrun">
    <w:name w:val="normaltextrun"/>
    <w:basedOn w:val="DefaultParagraphFont"/>
    <w:rsid w:val="00652D30"/>
  </w:style>
  <w:style w:type="paragraph" w:styleId="Header">
    <w:name w:val="header"/>
    <w:basedOn w:val="Normal"/>
    <w:link w:val="HeaderChar"/>
    <w:uiPriority w:val="99"/>
    <w:unhideWhenUsed/>
    <w:rsid w:val="006920EA"/>
    <w:pPr>
      <w:tabs>
        <w:tab w:val="center" w:pos="4513"/>
        <w:tab w:val="right" w:pos="9026"/>
      </w:tabs>
    </w:pPr>
  </w:style>
  <w:style w:type="character" w:customStyle="1" w:styleId="HeaderChar">
    <w:name w:val="Header Char"/>
    <w:basedOn w:val="DefaultParagraphFont"/>
    <w:link w:val="Header"/>
    <w:uiPriority w:val="99"/>
    <w:rsid w:val="006920EA"/>
    <w:rPr>
      <w:rFonts w:ascii="Foundry Form Sans" w:hAnsi="Foundry Form Sans"/>
      <w:sz w:val="24"/>
      <w:szCs w:val="24"/>
      <w:lang w:eastAsia="en-US"/>
    </w:rPr>
  </w:style>
  <w:style w:type="paragraph" w:styleId="Footer">
    <w:name w:val="footer"/>
    <w:basedOn w:val="Normal"/>
    <w:link w:val="FooterChar"/>
    <w:unhideWhenUsed/>
    <w:rsid w:val="006920EA"/>
    <w:pPr>
      <w:tabs>
        <w:tab w:val="center" w:pos="4513"/>
        <w:tab w:val="right" w:pos="9026"/>
      </w:tabs>
    </w:pPr>
  </w:style>
  <w:style w:type="character" w:customStyle="1" w:styleId="FooterChar">
    <w:name w:val="Footer Char"/>
    <w:basedOn w:val="DefaultParagraphFont"/>
    <w:link w:val="Footer"/>
    <w:rsid w:val="006920EA"/>
    <w:rPr>
      <w:rFonts w:ascii="Foundry Form Sans" w:hAnsi="Foundry Form Sans"/>
      <w:sz w:val="24"/>
      <w:szCs w:val="24"/>
      <w:lang w:eastAsia="en-US"/>
    </w:rPr>
  </w:style>
  <w:style w:type="character" w:styleId="CommentReference">
    <w:name w:val="annotation reference"/>
    <w:basedOn w:val="DefaultParagraphFont"/>
    <w:semiHidden/>
    <w:unhideWhenUsed/>
    <w:rsid w:val="003362DC"/>
    <w:rPr>
      <w:sz w:val="16"/>
      <w:szCs w:val="16"/>
    </w:rPr>
  </w:style>
  <w:style w:type="paragraph" w:styleId="CommentText">
    <w:name w:val="annotation text"/>
    <w:basedOn w:val="Normal"/>
    <w:link w:val="CommentTextChar"/>
    <w:semiHidden/>
    <w:unhideWhenUsed/>
    <w:rsid w:val="003362DC"/>
    <w:rPr>
      <w:sz w:val="20"/>
      <w:szCs w:val="20"/>
    </w:rPr>
  </w:style>
  <w:style w:type="character" w:customStyle="1" w:styleId="CommentTextChar">
    <w:name w:val="Comment Text Char"/>
    <w:basedOn w:val="DefaultParagraphFont"/>
    <w:link w:val="CommentText"/>
    <w:semiHidden/>
    <w:rsid w:val="003362D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3362DC"/>
    <w:rPr>
      <w:b/>
      <w:bCs/>
    </w:rPr>
  </w:style>
  <w:style w:type="character" w:customStyle="1" w:styleId="CommentSubjectChar">
    <w:name w:val="Comment Subject Char"/>
    <w:basedOn w:val="CommentTextChar"/>
    <w:link w:val="CommentSubject"/>
    <w:semiHidden/>
    <w:rsid w:val="003362DC"/>
    <w:rPr>
      <w:rFonts w:ascii="Foundry Form Sans" w:hAnsi="Foundry Form Sans"/>
      <w:b/>
      <w:bCs/>
      <w:lang w:eastAsia="en-US"/>
    </w:rPr>
  </w:style>
  <w:style w:type="character" w:styleId="Hyperlink">
    <w:name w:val="Hyperlink"/>
    <w:basedOn w:val="DefaultParagraphFont"/>
    <w:uiPriority w:val="99"/>
    <w:semiHidden/>
    <w:unhideWhenUsed/>
    <w:rsid w:val="008F6BF9"/>
    <w:rPr>
      <w:color w:val="0563C1"/>
      <w:u w:val="single"/>
    </w:rPr>
  </w:style>
  <w:style w:type="paragraph" w:styleId="NormalWeb">
    <w:name w:val="Normal (Web)"/>
    <w:basedOn w:val="Normal"/>
    <w:uiPriority w:val="99"/>
    <w:unhideWhenUsed/>
    <w:rsid w:val="008F6BF9"/>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6116">
      <w:bodyDiv w:val="1"/>
      <w:marLeft w:val="0"/>
      <w:marRight w:val="0"/>
      <w:marTop w:val="0"/>
      <w:marBottom w:val="0"/>
      <w:divBdr>
        <w:top w:val="none" w:sz="0" w:space="0" w:color="auto"/>
        <w:left w:val="none" w:sz="0" w:space="0" w:color="auto"/>
        <w:bottom w:val="none" w:sz="0" w:space="0" w:color="auto"/>
        <w:right w:val="none" w:sz="0" w:space="0" w:color="auto"/>
      </w:divBdr>
    </w:div>
    <w:div w:id="869876507">
      <w:bodyDiv w:val="1"/>
      <w:marLeft w:val="0"/>
      <w:marRight w:val="0"/>
      <w:marTop w:val="0"/>
      <w:marBottom w:val="0"/>
      <w:divBdr>
        <w:top w:val="none" w:sz="0" w:space="0" w:color="auto"/>
        <w:left w:val="none" w:sz="0" w:space="0" w:color="auto"/>
        <w:bottom w:val="none" w:sz="0" w:space="0" w:color="auto"/>
        <w:right w:val="none" w:sz="0" w:space="0" w:color="auto"/>
      </w:divBdr>
      <w:divsChild>
        <w:div w:id="68231429">
          <w:marLeft w:val="0"/>
          <w:marRight w:val="0"/>
          <w:marTop w:val="0"/>
          <w:marBottom w:val="0"/>
          <w:divBdr>
            <w:top w:val="none" w:sz="0" w:space="0" w:color="auto"/>
            <w:left w:val="none" w:sz="0" w:space="0" w:color="auto"/>
            <w:bottom w:val="none" w:sz="0" w:space="0" w:color="auto"/>
            <w:right w:val="none" w:sz="0" w:space="0" w:color="auto"/>
          </w:divBdr>
        </w:div>
        <w:div w:id="902764184">
          <w:marLeft w:val="0"/>
          <w:marRight w:val="0"/>
          <w:marTop w:val="0"/>
          <w:marBottom w:val="0"/>
          <w:divBdr>
            <w:top w:val="none" w:sz="0" w:space="0" w:color="auto"/>
            <w:left w:val="none" w:sz="0" w:space="0" w:color="auto"/>
            <w:bottom w:val="none" w:sz="0" w:space="0" w:color="auto"/>
            <w:right w:val="none" w:sz="0" w:space="0" w:color="auto"/>
          </w:divBdr>
        </w:div>
        <w:div w:id="1182621865">
          <w:marLeft w:val="0"/>
          <w:marRight w:val="0"/>
          <w:marTop w:val="0"/>
          <w:marBottom w:val="0"/>
          <w:divBdr>
            <w:top w:val="none" w:sz="0" w:space="0" w:color="auto"/>
            <w:left w:val="none" w:sz="0" w:space="0" w:color="auto"/>
            <w:bottom w:val="none" w:sz="0" w:space="0" w:color="auto"/>
            <w:right w:val="none" w:sz="0" w:space="0" w:color="auto"/>
          </w:divBdr>
        </w:div>
        <w:div w:id="611523549">
          <w:marLeft w:val="0"/>
          <w:marRight w:val="0"/>
          <w:marTop w:val="0"/>
          <w:marBottom w:val="0"/>
          <w:divBdr>
            <w:top w:val="none" w:sz="0" w:space="0" w:color="auto"/>
            <w:left w:val="none" w:sz="0" w:space="0" w:color="auto"/>
            <w:bottom w:val="none" w:sz="0" w:space="0" w:color="auto"/>
            <w:right w:val="none" w:sz="0" w:space="0" w:color="auto"/>
          </w:divBdr>
        </w:div>
        <w:div w:id="522090020">
          <w:marLeft w:val="0"/>
          <w:marRight w:val="0"/>
          <w:marTop w:val="0"/>
          <w:marBottom w:val="0"/>
          <w:divBdr>
            <w:top w:val="none" w:sz="0" w:space="0" w:color="auto"/>
            <w:left w:val="none" w:sz="0" w:space="0" w:color="auto"/>
            <w:bottom w:val="none" w:sz="0" w:space="0" w:color="auto"/>
            <w:right w:val="none" w:sz="0" w:space="0" w:color="auto"/>
          </w:divBdr>
        </w:div>
        <w:div w:id="1439981347">
          <w:marLeft w:val="0"/>
          <w:marRight w:val="0"/>
          <w:marTop w:val="0"/>
          <w:marBottom w:val="0"/>
          <w:divBdr>
            <w:top w:val="none" w:sz="0" w:space="0" w:color="auto"/>
            <w:left w:val="none" w:sz="0" w:space="0" w:color="auto"/>
            <w:bottom w:val="none" w:sz="0" w:space="0" w:color="auto"/>
            <w:right w:val="none" w:sz="0" w:space="0" w:color="auto"/>
          </w:divBdr>
        </w:div>
        <w:div w:id="830951023">
          <w:marLeft w:val="0"/>
          <w:marRight w:val="0"/>
          <w:marTop w:val="0"/>
          <w:marBottom w:val="0"/>
          <w:divBdr>
            <w:top w:val="none" w:sz="0" w:space="0" w:color="auto"/>
            <w:left w:val="none" w:sz="0" w:space="0" w:color="auto"/>
            <w:bottom w:val="none" w:sz="0" w:space="0" w:color="auto"/>
            <w:right w:val="none" w:sz="0" w:space="0" w:color="auto"/>
          </w:divBdr>
        </w:div>
        <w:div w:id="439028253">
          <w:marLeft w:val="0"/>
          <w:marRight w:val="0"/>
          <w:marTop w:val="0"/>
          <w:marBottom w:val="0"/>
          <w:divBdr>
            <w:top w:val="none" w:sz="0" w:space="0" w:color="auto"/>
            <w:left w:val="none" w:sz="0" w:space="0" w:color="auto"/>
            <w:bottom w:val="none" w:sz="0" w:space="0" w:color="auto"/>
            <w:right w:val="none" w:sz="0" w:space="0" w:color="auto"/>
          </w:divBdr>
        </w:div>
        <w:div w:id="156965748">
          <w:marLeft w:val="0"/>
          <w:marRight w:val="0"/>
          <w:marTop w:val="0"/>
          <w:marBottom w:val="0"/>
          <w:divBdr>
            <w:top w:val="none" w:sz="0" w:space="0" w:color="auto"/>
            <w:left w:val="none" w:sz="0" w:space="0" w:color="auto"/>
            <w:bottom w:val="none" w:sz="0" w:space="0" w:color="auto"/>
            <w:right w:val="none" w:sz="0" w:space="0" w:color="auto"/>
          </w:divBdr>
        </w:div>
        <w:div w:id="763770435">
          <w:marLeft w:val="0"/>
          <w:marRight w:val="0"/>
          <w:marTop w:val="0"/>
          <w:marBottom w:val="0"/>
          <w:divBdr>
            <w:top w:val="none" w:sz="0" w:space="0" w:color="auto"/>
            <w:left w:val="none" w:sz="0" w:space="0" w:color="auto"/>
            <w:bottom w:val="none" w:sz="0" w:space="0" w:color="auto"/>
            <w:right w:val="none" w:sz="0" w:space="0" w:color="auto"/>
          </w:divBdr>
        </w:div>
      </w:divsChild>
    </w:div>
    <w:div w:id="929581322">
      <w:bodyDiv w:val="1"/>
      <w:marLeft w:val="0"/>
      <w:marRight w:val="0"/>
      <w:marTop w:val="0"/>
      <w:marBottom w:val="0"/>
      <w:divBdr>
        <w:top w:val="none" w:sz="0" w:space="0" w:color="auto"/>
        <w:left w:val="none" w:sz="0" w:space="0" w:color="auto"/>
        <w:bottom w:val="none" w:sz="0" w:space="0" w:color="auto"/>
        <w:right w:val="none" w:sz="0" w:space="0" w:color="auto"/>
      </w:divBdr>
    </w:div>
    <w:div w:id="955138537">
      <w:bodyDiv w:val="1"/>
      <w:marLeft w:val="0"/>
      <w:marRight w:val="0"/>
      <w:marTop w:val="0"/>
      <w:marBottom w:val="0"/>
      <w:divBdr>
        <w:top w:val="none" w:sz="0" w:space="0" w:color="auto"/>
        <w:left w:val="none" w:sz="0" w:space="0" w:color="auto"/>
        <w:bottom w:val="none" w:sz="0" w:space="0" w:color="auto"/>
        <w:right w:val="none" w:sz="0" w:space="0" w:color="auto"/>
      </w:divBdr>
    </w:div>
    <w:div w:id="1691950312">
      <w:bodyDiv w:val="1"/>
      <w:marLeft w:val="0"/>
      <w:marRight w:val="0"/>
      <w:marTop w:val="0"/>
      <w:marBottom w:val="0"/>
      <w:divBdr>
        <w:top w:val="none" w:sz="0" w:space="0" w:color="auto"/>
        <w:left w:val="none" w:sz="0" w:space="0" w:color="auto"/>
        <w:bottom w:val="none" w:sz="0" w:space="0" w:color="auto"/>
        <w:right w:val="none" w:sz="0" w:space="0" w:color="auto"/>
      </w:divBdr>
      <w:divsChild>
        <w:div w:id="1682269384">
          <w:marLeft w:val="0"/>
          <w:marRight w:val="0"/>
          <w:marTop w:val="0"/>
          <w:marBottom w:val="0"/>
          <w:divBdr>
            <w:top w:val="none" w:sz="0" w:space="0" w:color="auto"/>
            <w:left w:val="none" w:sz="0" w:space="0" w:color="auto"/>
            <w:bottom w:val="none" w:sz="0" w:space="0" w:color="auto"/>
            <w:right w:val="none" w:sz="0" w:space="0" w:color="auto"/>
          </w:divBdr>
        </w:div>
        <w:div w:id="1816874142">
          <w:marLeft w:val="0"/>
          <w:marRight w:val="0"/>
          <w:marTop w:val="0"/>
          <w:marBottom w:val="0"/>
          <w:divBdr>
            <w:top w:val="none" w:sz="0" w:space="0" w:color="auto"/>
            <w:left w:val="none" w:sz="0" w:space="0" w:color="auto"/>
            <w:bottom w:val="none" w:sz="0" w:space="0" w:color="auto"/>
            <w:right w:val="none" w:sz="0" w:space="0" w:color="auto"/>
          </w:divBdr>
        </w:div>
      </w:divsChild>
    </w:div>
    <w:div w:id="20270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2" ma:contentTypeDescription="Create a new document." ma:contentTypeScope="" ma:versionID="3bb2e2ae56f36f14dba169f061144b54">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babd1b96bdebc7e25ec8314f868f7740"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4AD7D-D3F0-4524-BF0E-18D5488C3156}">
  <ds:schemaRefs>
    <ds:schemaRef ds:uri="http://schemas.openxmlformats.org/officeDocument/2006/bibliography"/>
  </ds:schemaRefs>
</ds:datastoreItem>
</file>

<file path=customXml/itemProps2.xml><?xml version="1.0" encoding="utf-8"?>
<ds:datastoreItem xmlns:ds="http://schemas.openxmlformats.org/officeDocument/2006/customXml" ds:itemID="{94816A54-0E01-4A37-A06A-BF819CF24C06}">
  <ds:schemaRefs>
    <ds:schemaRef ds:uri="http://schemas.microsoft.com/sharepoint/v3/contenttype/forms"/>
  </ds:schemaRefs>
</ds:datastoreItem>
</file>

<file path=customXml/itemProps3.xml><?xml version="1.0" encoding="utf-8"?>
<ds:datastoreItem xmlns:ds="http://schemas.openxmlformats.org/officeDocument/2006/customXml" ds:itemID="{49A6815E-34BC-46FC-BF73-45E96FF0ECAD}">
  <ds:schemaRefs>
    <ds:schemaRef ds:uri="http://schemas.microsoft.com/office/2006/metadata/properties"/>
    <ds:schemaRef ds:uri="http://schemas.microsoft.com/office/infopath/2007/PartnerControls"/>
    <ds:schemaRef ds:uri="197aba29-beb8-4ded-9a2a-0fbcdbc33849"/>
    <ds:schemaRef ds:uri="9d869b1b-30aa-452e-8322-be1ea12c43f3"/>
  </ds:schemaRefs>
</ds:datastoreItem>
</file>

<file path=customXml/itemProps4.xml><?xml version="1.0" encoding="utf-8"?>
<ds:datastoreItem xmlns:ds="http://schemas.openxmlformats.org/officeDocument/2006/customXml" ds:itemID="{687B150D-5EBB-468F-8F14-5ED14A28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aba29-beb8-4ded-9a2a-0fbcdbc33849"/>
    <ds:schemaRef ds:uri="9d869b1b-30aa-452e-8322-be1ea12c4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Souraya Ali</dc:creator>
  <cp:keywords/>
  <dc:description/>
  <cp:lastModifiedBy>Souraya Ali</cp:lastModifiedBy>
  <cp:revision>2</cp:revision>
  <dcterms:created xsi:type="dcterms:W3CDTF">2023-02-16T11:39:00Z</dcterms:created>
  <dcterms:modified xsi:type="dcterms:W3CDTF">2023-02-16T11:39:00Z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ies>
</file>